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90B8" w14:textId="77777777" w:rsidR="00FE22F8" w:rsidRDefault="00FE22F8" w:rsidP="00FE22F8">
      <w:pPr>
        <w:pStyle w:val="Heading2-TopOfPage"/>
      </w:pPr>
      <w:bookmarkStart w:id="0" w:name="_Toc121751739"/>
      <w:bookmarkStart w:id="1" w:name="_Toc121899554"/>
      <w:r>
        <w:t>Appendix B: Model Collection Policy</w:t>
      </w:r>
      <w:bookmarkEnd w:id="0"/>
      <w:bookmarkEnd w:id="1"/>
    </w:p>
    <w:p w14:paraId="3EAF9439" w14:textId="77777777" w:rsidR="00FE22F8" w:rsidRPr="00E94877" w:rsidRDefault="00FE22F8" w:rsidP="00FE22F8"/>
    <w:p w14:paraId="70D61D14" w14:textId="77777777" w:rsidR="00FE22F8" w:rsidRPr="0075638F" w:rsidRDefault="00FE22F8" w:rsidP="00FE22F8">
      <w:pPr>
        <w:tabs>
          <w:tab w:val="left" w:pos="360"/>
        </w:tabs>
        <w:jc w:val="center"/>
        <w:rPr>
          <w:b/>
          <w:sz w:val="22"/>
        </w:rPr>
      </w:pPr>
      <w:r w:rsidRPr="0075638F">
        <w:rPr>
          <w:b/>
          <w:sz w:val="22"/>
        </w:rPr>
        <w:t>TOWN OF _____________, VERMONT</w:t>
      </w:r>
    </w:p>
    <w:p w14:paraId="61268851" w14:textId="77777777" w:rsidR="00FE22F8" w:rsidRPr="0075638F" w:rsidRDefault="00FE22F8" w:rsidP="00FE22F8">
      <w:pPr>
        <w:tabs>
          <w:tab w:val="left" w:pos="360"/>
        </w:tabs>
        <w:jc w:val="center"/>
        <w:rPr>
          <w:b/>
          <w:sz w:val="22"/>
        </w:rPr>
      </w:pPr>
      <w:r w:rsidRPr="0075638F">
        <w:rPr>
          <w:b/>
          <w:sz w:val="22"/>
        </w:rPr>
        <w:t>POLICY OF THE COLLECTOR OF DELINQUENT TAXES</w:t>
      </w:r>
    </w:p>
    <w:p w14:paraId="1E48759A" w14:textId="77777777" w:rsidR="00FE22F8" w:rsidRDefault="00FE22F8" w:rsidP="00FE22F8">
      <w:pPr>
        <w:tabs>
          <w:tab w:val="left" w:pos="360"/>
        </w:tabs>
        <w:rPr>
          <w:sz w:val="22"/>
        </w:rPr>
      </w:pPr>
    </w:p>
    <w:p w14:paraId="5CD4572E" w14:textId="77777777" w:rsidR="00FE22F8" w:rsidRDefault="00FE22F8" w:rsidP="00FE22F8">
      <w:pPr>
        <w:tabs>
          <w:tab w:val="left" w:pos="360"/>
        </w:tabs>
        <w:rPr>
          <w:sz w:val="22"/>
        </w:rPr>
      </w:pPr>
      <w:r>
        <w:rPr>
          <w:sz w:val="22"/>
        </w:rPr>
        <w:t>The purpose of this policy is to establish clear guidelines so that all delinquent taxpayers will be treated fairly and will know what to expect.</w:t>
      </w:r>
    </w:p>
    <w:p w14:paraId="59216F6E" w14:textId="77777777" w:rsidR="00FE22F8" w:rsidRDefault="00FE22F8" w:rsidP="00FE22F8">
      <w:pPr>
        <w:tabs>
          <w:tab w:val="left" w:pos="360"/>
        </w:tabs>
        <w:rPr>
          <w:sz w:val="22"/>
        </w:rPr>
      </w:pPr>
    </w:p>
    <w:p w14:paraId="72BCA221" w14:textId="77777777" w:rsidR="00FE22F8" w:rsidRDefault="00FE22F8" w:rsidP="00FE22F8">
      <w:pPr>
        <w:tabs>
          <w:tab w:val="left" w:pos="360"/>
        </w:tabs>
        <w:ind w:left="360" w:hanging="360"/>
        <w:rPr>
          <w:sz w:val="22"/>
        </w:rPr>
      </w:pPr>
      <w:r>
        <w:rPr>
          <w:sz w:val="22"/>
        </w:rPr>
        <w:t>A.</w:t>
      </w:r>
      <w:r>
        <w:rPr>
          <w:sz w:val="22"/>
        </w:rPr>
        <w:tab/>
        <w:t>As soon as the warrant has been received, [</w:t>
      </w:r>
      <w:r>
        <w:rPr>
          <w:i/>
          <w:sz w:val="22"/>
        </w:rPr>
        <w:t>if additional notices will be sent, insert the relevant period such as “</w:t>
      </w:r>
      <w:r w:rsidRPr="00AA1E0B">
        <w:rPr>
          <w:i/>
          <w:sz w:val="22"/>
        </w:rPr>
        <w:t xml:space="preserve">and </w:t>
      </w:r>
      <w:r>
        <w:rPr>
          <w:i/>
          <w:sz w:val="22"/>
        </w:rPr>
        <w:t>quarterly” or “</w:t>
      </w:r>
      <w:r w:rsidRPr="00AA1E0B">
        <w:rPr>
          <w:i/>
          <w:sz w:val="22"/>
        </w:rPr>
        <w:t>and each month afterwards</w:t>
      </w:r>
      <w:r>
        <w:rPr>
          <w:i/>
          <w:sz w:val="22"/>
        </w:rPr>
        <w:t>’</w:t>
      </w:r>
      <w:r>
        <w:rPr>
          <w:sz w:val="22"/>
        </w:rPr>
        <w:t>], the collector of delinquent taxes will send a notice to each delinquent taxpayer indicating the amount of taxes, penalty and interest owed.</w:t>
      </w:r>
    </w:p>
    <w:p w14:paraId="49A4BDA7" w14:textId="77777777" w:rsidR="00FE22F8" w:rsidRDefault="00FE22F8" w:rsidP="00FE22F8">
      <w:pPr>
        <w:tabs>
          <w:tab w:val="left" w:pos="360"/>
        </w:tabs>
        <w:ind w:left="360" w:hanging="360"/>
        <w:rPr>
          <w:sz w:val="22"/>
        </w:rPr>
      </w:pPr>
    </w:p>
    <w:p w14:paraId="500C9EA3" w14:textId="77777777" w:rsidR="00FE22F8" w:rsidRDefault="00FE22F8" w:rsidP="00FE22F8">
      <w:pPr>
        <w:tabs>
          <w:tab w:val="left" w:pos="360"/>
        </w:tabs>
        <w:ind w:left="360" w:hanging="360"/>
        <w:rPr>
          <w:sz w:val="22"/>
        </w:rPr>
      </w:pPr>
      <w:r>
        <w:rPr>
          <w:sz w:val="22"/>
        </w:rPr>
        <w:t>B.</w:t>
      </w:r>
      <w:r>
        <w:rPr>
          <w:sz w:val="22"/>
        </w:rPr>
        <w:tab/>
        <w:t>Only payment arrangements that will pay the bill in full before the due date of next year’s bill will be accepted.</w:t>
      </w:r>
    </w:p>
    <w:p w14:paraId="0F2EAD6F" w14:textId="77777777" w:rsidR="00FE22F8" w:rsidRDefault="00FE22F8" w:rsidP="00FE22F8">
      <w:pPr>
        <w:tabs>
          <w:tab w:val="left" w:pos="360"/>
        </w:tabs>
        <w:ind w:left="360" w:hanging="360"/>
        <w:rPr>
          <w:sz w:val="22"/>
        </w:rPr>
      </w:pPr>
    </w:p>
    <w:p w14:paraId="0CC0231D" w14:textId="77777777" w:rsidR="00FE22F8" w:rsidRDefault="00FE22F8" w:rsidP="00FE22F8">
      <w:pPr>
        <w:tabs>
          <w:tab w:val="left" w:pos="360"/>
        </w:tabs>
        <w:ind w:left="360" w:hanging="360"/>
        <w:rPr>
          <w:sz w:val="22"/>
        </w:rPr>
      </w:pPr>
      <w:r>
        <w:rPr>
          <w:sz w:val="22"/>
        </w:rPr>
        <w:t>C.</w:t>
      </w:r>
      <w:r>
        <w:rPr>
          <w:sz w:val="22"/>
        </w:rPr>
        <w:tab/>
        <w:t xml:space="preserve">If the tax on personal property is not paid in full within 10 days of the notice, the tax collector will seek the authorization of the selectboard to place a </w:t>
      </w:r>
      <w:proofErr w:type="gramStart"/>
      <w:r>
        <w:rPr>
          <w:sz w:val="22"/>
        </w:rPr>
        <w:t>lien</w:t>
      </w:r>
      <w:proofErr w:type="gramEnd"/>
      <w:r>
        <w:rPr>
          <w:sz w:val="22"/>
        </w:rPr>
        <w:t xml:space="preserve"> on the property.</w:t>
      </w:r>
    </w:p>
    <w:p w14:paraId="420FD452" w14:textId="77777777" w:rsidR="00FE22F8" w:rsidRDefault="00FE22F8" w:rsidP="00FE22F8">
      <w:pPr>
        <w:tabs>
          <w:tab w:val="left" w:pos="360"/>
        </w:tabs>
        <w:ind w:left="360" w:hanging="360"/>
        <w:rPr>
          <w:sz w:val="22"/>
        </w:rPr>
      </w:pPr>
    </w:p>
    <w:p w14:paraId="74511DE2" w14:textId="77777777" w:rsidR="00FE22F8" w:rsidRDefault="00FE22F8" w:rsidP="00FE22F8">
      <w:pPr>
        <w:tabs>
          <w:tab w:val="left" w:pos="360"/>
        </w:tabs>
        <w:ind w:left="360" w:hanging="360"/>
        <w:rPr>
          <w:sz w:val="22"/>
        </w:rPr>
      </w:pPr>
      <w:r>
        <w:rPr>
          <w:sz w:val="22"/>
        </w:rPr>
        <w:t>D.</w:t>
      </w:r>
      <w:r>
        <w:rPr>
          <w:sz w:val="22"/>
        </w:rPr>
        <w:tab/>
        <w:t>Mortgage holders and lien holders will be notified of the delinquent taxes [</w:t>
      </w:r>
      <w:r>
        <w:rPr>
          <w:i/>
          <w:sz w:val="22"/>
        </w:rPr>
        <w:t>if additional notices will be sent, insert relevant language such as “</w:t>
      </w:r>
      <w:r w:rsidRPr="00AA1E0B">
        <w:rPr>
          <w:i/>
          <w:sz w:val="22"/>
        </w:rPr>
        <w:t>30 days after the first notice has been sent to the taxpayer and again</w:t>
      </w:r>
      <w:r>
        <w:rPr>
          <w:i/>
          <w:sz w:val="22"/>
        </w:rPr>
        <w:t>”</w:t>
      </w:r>
      <w:r>
        <w:rPr>
          <w:sz w:val="22"/>
        </w:rPr>
        <w:t>] prior to tax sale.</w:t>
      </w:r>
    </w:p>
    <w:p w14:paraId="66F46DF8" w14:textId="77777777" w:rsidR="00FE22F8" w:rsidRDefault="00FE22F8" w:rsidP="00FE22F8">
      <w:pPr>
        <w:tabs>
          <w:tab w:val="left" w:pos="360"/>
        </w:tabs>
        <w:ind w:left="360" w:hanging="360"/>
        <w:rPr>
          <w:sz w:val="22"/>
        </w:rPr>
      </w:pPr>
    </w:p>
    <w:p w14:paraId="4A2BC17F" w14:textId="77777777" w:rsidR="00FE22F8" w:rsidRDefault="00FE22F8" w:rsidP="00FE22F8">
      <w:pPr>
        <w:tabs>
          <w:tab w:val="left" w:pos="360"/>
        </w:tabs>
        <w:ind w:left="360" w:hanging="360"/>
        <w:rPr>
          <w:sz w:val="22"/>
        </w:rPr>
      </w:pPr>
      <w:r>
        <w:rPr>
          <w:sz w:val="22"/>
        </w:rPr>
        <w:t>E.</w:t>
      </w:r>
      <w:r>
        <w:rPr>
          <w:sz w:val="22"/>
        </w:rPr>
        <w:tab/>
        <w:t xml:space="preserve">Partial payments will be applied proportionally between </w:t>
      </w:r>
      <w:r w:rsidRPr="00F84281">
        <w:rPr>
          <w:sz w:val="22"/>
        </w:rPr>
        <w:t>the principal</w:t>
      </w:r>
      <w:r>
        <w:rPr>
          <w:sz w:val="22"/>
        </w:rPr>
        <w:t xml:space="preserve"> amount of the tax</w:t>
      </w:r>
      <w:r w:rsidRPr="00F84281">
        <w:rPr>
          <w:sz w:val="22"/>
        </w:rPr>
        <w:t>, interest</w:t>
      </w:r>
      <w:r>
        <w:rPr>
          <w:sz w:val="22"/>
        </w:rPr>
        <w:t>,</w:t>
      </w:r>
      <w:r w:rsidRPr="00F84281">
        <w:rPr>
          <w:sz w:val="22"/>
        </w:rPr>
        <w:t xml:space="preserve"> and </w:t>
      </w:r>
      <w:r>
        <w:rPr>
          <w:sz w:val="22"/>
        </w:rPr>
        <w:t>penalty fee</w:t>
      </w:r>
      <w:r w:rsidRPr="00F84281">
        <w:rPr>
          <w:sz w:val="22"/>
        </w:rPr>
        <w:t>.</w:t>
      </w:r>
    </w:p>
    <w:p w14:paraId="0BAB0F63" w14:textId="77777777" w:rsidR="00FE22F8" w:rsidRDefault="00FE22F8" w:rsidP="00FE22F8">
      <w:pPr>
        <w:tabs>
          <w:tab w:val="left" w:pos="360"/>
        </w:tabs>
        <w:ind w:left="360" w:hanging="360"/>
        <w:rPr>
          <w:sz w:val="22"/>
        </w:rPr>
      </w:pPr>
    </w:p>
    <w:p w14:paraId="3C7A122C" w14:textId="77777777" w:rsidR="00FE22F8" w:rsidRDefault="00FE22F8" w:rsidP="00FE22F8">
      <w:pPr>
        <w:tabs>
          <w:tab w:val="left" w:pos="360"/>
        </w:tabs>
        <w:ind w:left="360" w:hanging="360"/>
        <w:rPr>
          <w:sz w:val="22"/>
        </w:rPr>
      </w:pPr>
      <w:r>
        <w:rPr>
          <w:sz w:val="22"/>
        </w:rPr>
        <w:t>F.</w:t>
      </w:r>
      <w:r>
        <w:rPr>
          <w:sz w:val="22"/>
        </w:rPr>
        <w:tab/>
        <w:t xml:space="preserve">If the amount due is less than $500 and no satisfactory payment arrangements have been made in one month, or if the prior payment agreement has not been met, the tax collector may file a complaint with </w:t>
      </w:r>
      <w:proofErr w:type="gramStart"/>
      <w:r>
        <w:rPr>
          <w:sz w:val="22"/>
        </w:rPr>
        <w:t>small</w:t>
      </w:r>
      <w:proofErr w:type="gramEnd"/>
      <w:r>
        <w:rPr>
          <w:sz w:val="22"/>
        </w:rPr>
        <w:t xml:space="preserve"> claims court.</w:t>
      </w:r>
    </w:p>
    <w:p w14:paraId="3217E738" w14:textId="77777777" w:rsidR="00FE22F8" w:rsidRDefault="00FE22F8" w:rsidP="00FE22F8">
      <w:pPr>
        <w:tabs>
          <w:tab w:val="left" w:pos="360"/>
        </w:tabs>
        <w:ind w:left="360" w:hanging="360"/>
        <w:rPr>
          <w:sz w:val="22"/>
        </w:rPr>
      </w:pPr>
    </w:p>
    <w:p w14:paraId="5A0E22E3" w14:textId="77777777" w:rsidR="00FE22F8" w:rsidRDefault="00FE22F8" w:rsidP="00FE22F8">
      <w:pPr>
        <w:tabs>
          <w:tab w:val="left" w:pos="360"/>
        </w:tabs>
        <w:ind w:left="360" w:hanging="360"/>
        <w:rPr>
          <w:sz w:val="22"/>
        </w:rPr>
      </w:pPr>
      <w:r>
        <w:rPr>
          <w:sz w:val="22"/>
        </w:rPr>
        <w:t>G.</w:t>
      </w:r>
      <w:r>
        <w:rPr>
          <w:sz w:val="22"/>
        </w:rPr>
        <w:tab/>
        <w:t>If the amount due is $500 or more and no satisfactory payment arrangements have been made in one month, or if the prior agreement has not been met, the tax collector may begin the following actions to conduct a tax sale of the property or as much of the property as is necessary to pay the tax, plus costs and fees:</w:t>
      </w:r>
    </w:p>
    <w:p w14:paraId="6B5D4C9B" w14:textId="77777777" w:rsidR="00FE22F8" w:rsidRDefault="00FE22F8" w:rsidP="00FE22F8">
      <w:pPr>
        <w:tabs>
          <w:tab w:val="left" w:pos="360"/>
        </w:tabs>
        <w:rPr>
          <w:sz w:val="22"/>
        </w:rPr>
      </w:pPr>
    </w:p>
    <w:p w14:paraId="7550D6F5" w14:textId="77777777" w:rsidR="00FE22F8" w:rsidRDefault="00FE22F8" w:rsidP="00FE22F8">
      <w:pPr>
        <w:tabs>
          <w:tab w:val="left" w:pos="360"/>
        </w:tabs>
        <w:ind w:left="720" w:hanging="720"/>
        <w:rPr>
          <w:sz w:val="22"/>
        </w:rPr>
      </w:pPr>
      <w:r>
        <w:rPr>
          <w:sz w:val="22"/>
        </w:rPr>
        <w:tab/>
        <w:t>1.</w:t>
      </w:r>
      <w:r>
        <w:rPr>
          <w:sz w:val="22"/>
        </w:rPr>
        <w:tab/>
        <w:t>The collector will notify the taxpayer and all mortgage and lien holders of the tax sale decision, the date by which full payment must be received, and the costs to expect once the sale process begins.</w:t>
      </w:r>
    </w:p>
    <w:p w14:paraId="39537090" w14:textId="77777777" w:rsidR="00FE22F8" w:rsidRDefault="00FE22F8" w:rsidP="00FE22F8">
      <w:pPr>
        <w:tabs>
          <w:tab w:val="left" w:pos="360"/>
        </w:tabs>
        <w:ind w:left="720" w:hanging="720"/>
        <w:rPr>
          <w:sz w:val="22"/>
        </w:rPr>
      </w:pPr>
      <w:r>
        <w:rPr>
          <w:sz w:val="22"/>
        </w:rPr>
        <w:tab/>
        <w:t>2.</w:t>
      </w:r>
      <w:r>
        <w:rPr>
          <w:sz w:val="22"/>
        </w:rPr>
        <w:tab/>
        <w:t>If the deadline date has passed and full payment has not been received, the collector will proceed with a tax sale according to the procedures specified in 32 V.S.A. § 5252.</w:t>
      </w:r>
    </w:p>
    <w:p w14:paraId="51120C05" w14:textId="77777777" w:rsidR="00FE22F8" w:rsidRDefault="00FE22F8" w:rsidP="00FE22F8">
      <w:pPr>
        <w:tabs>
          <w:tab w:val="left" w:pos="360"/>
        </w:tabs>
        <w:ind w:left="720" w:hanging="720"/>
        <w:rPr>
          <w:sz w:val="22"/>
        </w:rPr>
      </w:pPr>
      <w:r>
        <w:rPr>
          <w:sz w:val="22"/>
        </w:rPr>
        <w:tab/>
        <w:t>3.</w:t>
      </w:r>
      <w:r>
        <w:rPr>
          <w:sz w:val="22"/>
        </w:rPr>
        <w:tab/>
        <w:t>Costs of preparing and conducting the sale, including legal fees up to a maximum of 15% of the amount of the delinquent tax, will be charged to the delinquent taxpayer.</w:t>
      </w:r>
    </w:p>
    <w:p w14:paraId="3C63EF23" w14:textId="77777777" w:rsidR="00FE22F8" w:rsidRDefault="00FE22F8" w:rsidP="00FE22F8">
      <w:pPr>
        <w:tabs>
          <w:tab w:val="left" w:pos="360"/>
        </w:tabs>
        <w:rPr>
          <w:sz w:val="22"/>
        </w:rPr>
      </w:pPr>
    </w:p>
    <w:p w14:paraId="60D9EAF4" w14:textId="77777777" w:rsidR="00FE22F8" w:rsidRDefault="00FE22F8" w:rsidP="00FE22F8">
      <w:pPr>
        <w:tabs>
          <w:tab w:val="left" w:pos="360"/>
        </w:tabs>
        <w:ind w:left="360" w:hanging="360"/>
        <w:rPr>
          <w:sz w:val="22"/>
        </w:rPr>
      </w:pPr>
      <w:r>
        <w:rPr>
          <w:sz w:val="22"/>
        </w:rPr>
        <w:lastRenderedPageBreak/>
        <w:t>H.</w:t>
      </w:r>
      <w:r>
        <w:rPr>
          <w:sz w:val="22"/>
        </w:rPr>
        <w:tab/>
        <w:t>Each taxpayer has a right to apply for abatement</w:t>
      </w:r>
      <w:r>
        <w:rPr>
          <w:sz w:val="22"/>
        </w:rPr>
        <w:fldChar w:fldCharType="begin"/>
      </w:r>
      <w:r>
        <w:instrText xml:space="preserve"> XE "</w:instrText>
      </w:r>
      <w:r w:rsidRPr="00814678">
        <w:instrText>abatement</w:instrText>
      </w:r>
      <w:r>
        <w:instrText xml:space="preserve">" </w:instrText>
      </w:r>
      <w:r>
        <w:rPr>
          <w:sz w:val="22"/>
        </w:rPr>
        <w:fldChar w:fldCharType="end"/>
      </w:r>
      <w:r>
        <w:rPr>
          <w:sz w:val="22"/>
        </w:rPr>
        <w:t xml:space="preserve"> of property taxes based on any of the grounds listed in 24 V.S.A. § 1535. If you would like to schedule a meeting with the board of abatement, please contact the town clerk at ____________.</w:t>
      </w:r>
    </w:p>
    <w:p w14:paraId="2317794B" w14:textId="77777777" w:rsidR="00FE22F8" w:rsidRDefault="00FE22F8" w:rsidP="00FE22F8">
      <w:pPr>
        <w:tabs>
          <w:tab w:val="left" w:pos="360"/>
        </w:tabs>
        <w:ind w:left="360" w:hanging="360"/>
        <w:rPr>
          <w:sz w:val="22"/>
        </w:rPr>
      </w:pPr>
      <w:r>
        <w:rPr>
          <w:sz w:val="22"/>
        </w:rPr>
        <w:t>I.</w:t>
      </w:r>
      <w:r>
        <w:rPr>
          <w:sz w:val="22"/>
        </w:rPr>
        <w:tab/>
        <w:t xml:space="preserve">If no one purchases the property at tax sale, or if, in the judgment of the collector, proceeding with the tax sale in inadvisable, the collector shall collect the delinquent taxes using any or </w:t>
      </w:r>
      <w:proofErr w:type="gramStart"/>
      <w:r>
        <w:rPr>
          <w:sz w:val="22"/>
        </w:rPr>
        <w:t>all of</w:t>
      </w:r>
      <w:proofErr w:type="gramEnd"/>
      <w:r>
        <w:rPr>
          <w:sz w:val="22"/>
        </w:rPr>
        <w:t xml:space="preserve"> the methods permitted by law.</w:t>
      </w:r>
    </w:p>
    <w:p w14:paraId="5695063D" w14:textId="77777777" w:rsidR="00FE22F8" w:rsidRDefault="00FE22F8" w:rsidP="00FE22F8">
      <w:pPr>
        <w:tabs>
          <w:tab w:val="left" w:pos="360"/>
        </w:tabs>
        <w:ind w:left="360" w:hanging="360"/>
        <w:rPr>
          <w:sz w:val="22"/>
        </w:rPr>
      </w:pPr>
    </w:p>
    <w:p w14:paraId="2E1D43C1" w14:textId="77777777" w:rsidR="00FE22F8" w:rsidRDefault="00FE22F8" w:rsidP="00FE22F8">
      <w:pPr>
        <w:tabs>
          <w:tab w:val="left" w:pos="360"/>
        </w:tabs>
        <w:ind w:left="360" w:hanging="360"/>
        <w:rPr>
          <w:sz w:val="22"/>
        </w:rPr>
      </w:pPr>
      <w:r>
        <w:rPr>
          <w:sz w:val="22"/>
        </w:rPr>
        <w:t>J.</w:t>
      </w:r>
      <w:r>
        <w:rPr>
          <w:sz w:val="22"/>
        </w:rPr>
        <w:tab/>
        <w:t>If a property is being sold for taxes, t</w:t>
      </w:r>
      <w:r w:rsidRPr="00984B1E">
        <w:rPr>
          <w:sz w:val="22"/>
        </w:rPr>
        <w:t xml:space="preserve">he owner may request in writing, not less than 24 hours prior to the tax sale, that a portion of the property be sold. Such request must clearly identify the portion of the property to be sold and must be accompanied by a certification from the </w:t>
      </w:r>
      <w:r>
        <w:rPr>
          <w:sz w:val="22"/>
        </w:rPr>
        <w:t xml:space="preserve">Vermont </w:t>
      </w:r>
      <w:r w:rsidRPr="00984B1E">
        <w:rPr>
          <w:sz w:val="22"/>
        </w:rPr>
        <w:t xml:space="preserve">District Environmental Commission and the town zoning administrative officer that the portion identified may be subdivided and meets minimum lot size requirements. </w:t>
      </w:r>
      <w:proofErr w:type="gramStart"/>
      <w:r w:rsidRPr="00984B1E">
        <w:rPr>
          <w:sz w:val="22"/>
        </w:rPr>
        <w:t>In the event that</w:t>
      </w:r>
      <w:proofErr w:type="gramEnd"/>
      <w:r w:rsidRPr="00984B1E">
        <w:rPr>
          <w:sz w:val="22"/>
        </w:rPr>
        <w:t xml:space="preserve"> the portion identified by the taxpayer cannot be sold for the tax and costs, then the entire property may be sold to pay such tax and costs.</w:t>
      </w:r>
    </w:p>
    <w:p w14:paraId="33BD04AD" w14:textId="77777777" w:rsidR="00FE22F8" w:rsidRDefault="00FE22F8" w:rsidP="00FE22F8">
      <w:pPr>
        <w:tabs>
          <w:tab w:val="left" w:pos="360"/>
        </w:tabs>
        <w:ind w:left="360" w:hanging="360"/>
        <w:rPr>
          <w:sz w:val="22"/>
        </w:rPr>
      </w:pPr>
    </w:p>
    <w:p w14:paraId="75693836" w14:textId="77777777" w:rsidR="00FE22F8" w:rsidRDefault="00FE22F8" w:rsidP="00FE22F8">
      <w:pPr>
        <w:tabs>
          <w:tab w:val="left" w:pos="360"/>
          <w:tab w:val="left" w:pos="5040"/>
        </w:tabs>
        <w:ind w:left="4320" w:hanging="360"/>
        <w:rPr>
          <w:sz w:val="22"/>
        </w:rPr>
      </w:pPr>
      <w:r>
        <w:rPr>
          <w:sz w:val="22"/>
        </w:rPr>
        <w:tab/>
        <w:t>_____________________________</w:t>
      </w:r>
    </w:p>
    <w:p w14:paraId="609E67E0" w14:textId="77777777" w:rsidR="00FE22F8" w:rsidRDefault="00FE22F8" w:rsidP="00FE22F8">
      <w:pPr>
        <w:tabs>
          <w:tab w:val="left" w:pos="360"/>
          <w:tab w:val="left" w:pos="5040"/>
        </w:tabs>
        <w:spacing w:after="120"/>
        <w:ind w:left="4320" w:hanging="360"/>
        <w:rPr>
          <w:sz w:val="22"/>
        </w:rPr>
      </w:pPr>
      <w:r>
        <w:rPr>
          <w:sz w:val="22"/>
        </w:rPr>
        <w:tab/>
        <w:t>Collector of Delinquent Taxes</w:t>
      </w:r>
      <w:r>
        <w:rPr>
          <w:sz w:val="22"/>
        </w:rPr>
        <w:fldChar w:fldCharType="begin"/>
      </w:r>
      <w:r>
        <w:instrText xml:space="preserve"> XE "</w:instrText>
      </w:r>
      <w:r w:rsidRPr="00944617">
        <w:instrText>Liability:Collector of Delinquent Taxes</w:instrText>
      </w:r>
      <w:r>
        <w:instrText xml:space="preserve">" </w:instrText>
      </w:r>
      <w:r>
        <w:rPr>
          <w:sz w:val="22"/>
        </w:rPr>
        <w:fldChar w:fldCharType="end"/>
      </w:r>
      <w:r>
        <w:rPr>
          <w:sz w:val="22"/>
        </w:rPr>
        <w:t xml:space="preserve"> </w:t>
      </w:r>
    </w:p>
    <w:p w14:paraId="3803EABF" w14:textId="77777777" w:rsidR="00FE22F8" w:rsidRDefault="00FE22F8" w:rsidP="00FE22F8">
      <w:pPr>
        <w:tabs>
          <w:tab w:val="left" w:pos="360"/>
          <w:tab w:val="left" w:pos="5040"/>
        </w:tabs>
        <w:spacing w:after="120"/>
        <w:ind w:left="4320" w:hanging="360"/>
        <w:rPr>
          <w:sz w:val="22"/>
        </w:rPr>
      </w:pPr>
      <w:r>
        <w:rPr>
          <w:sz w:val="22"/>
        </w:rPr>
        <w:tab/>
        <w:t>Town</w:t>
      </w:r>
      <w:r>
        <w:rPr>
          <w:sz w:val="22"/>
        </w:rPr>
        <w:fldChar w:fldCharType="begin"/>
      </w:r>
      <w:r>
        <w:instrText xml:space="preserve"> XE "</w:instrText>
      </w:r>
      <w:r w:rsidRPr="00064568">
        <w:instrText>Liability:Town</w:instrText>
      </w:r>
      <w:r>
        <w:instrText xml:space="preserve">" </w:instrText>
      </w:r>
      <w:r>
        <w:rPr>
          <w:sz w:val="22"/>
        </w:rPr>
        <w:fldChar w:fldCharType="end"/>
      </w:r>
      <w:r>
        <w:rPr>
          <w:sz w:val="22"/>
        </w:rPr>
        <w:t xml:space="preserve"> of _____________, Vermont</w:t>
      </w:r>
    </w:p>
    <w:p w14:paraId="247E601D" w14:textId="77777777" w:rsidR="009611B6" w:rsidRPr="00FE22F8" w:rsidRDefault="009611B6" w:rsidP="00FE22F8"/>
    <w:sectPr w:rsidR="009611B6" w:rsidRPr="00FE22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B6B1" w14:textId="77777777" w:rsidR="009611B6" w:rsidRDefault="009611B6" w:rsidP="009611B6">
      <w:r>
        <w:separator/>
      </w:r>
    </w:p>
  </w:endnote>
  <w:endnote w:type="continuationSeparator" w:id="0">
    <w:p w14:paraId="3219C136" w14:textId="77777777" w:rsidR="009611B6" w:rsidRDefault="009611B6" w:rsidP="0096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2A1D" w14:textId="150C2BCD" w:rsidR="009611B6" w:rsidRDefault="009611B6">
    <w:pPr>
      <w:pStyle w:val="Footer"/>
    </w:pPr>
    <w:r>
      <w:rPr>
        <w:rFonts w:ascii="Roboto Slab" w:hAnsi="Roboto Slab"/>
        <w:b/>
        <w:bCs/>
        <w:sz w:val="20"/>
      </w:rPr>
      <w:t xml:space="preserve">DTC </w:t>
    </w:r>
    <w:proofErr w:type="gramStart"/>
    <w:r>
      <w:rPr>
        <w:rFonts w:ascii="Roboto Slab" w:hAnsi="Roboto Slab"/>
        <w:b/>
        <w:bCs/>
        <w:sz w:val="20"/>
      </w:rPr>
      <w:t>Manual</w:t>
    </w:r>
    <w:r w:rsidRPr="000A7660">
      <w:rPr>
        <w:rFonts w:ascii="Roboto Slab" w:hAnsi="Roboto Slab"/>
        <w:sz w:val="16"/>
        <w:szCs w:val="16"/>
      </w:rPr>
      <w:t xml:space="preserve"> </w:t>
    </w:r>
    <w:r>
      <w:rPr>
        <w:rFonts w:ascii="Roboto Slab" w:hAnsi="Roboto Slab"/>
        <w:sz w:val="16"/>
        <w:szCs w:val="16"/>
      </w:rPr>
      <w:t xml:space="preserve"> </w:t>
    </w:r>
    <w:r w:rsidRPr="000A7660">
      <w:rPr>
        <w:rFonts w:ascii="Roboto Slab" w:hAnsi="Roboto Slab"/>
        <w:sz w:val="16"/>
        <w:szCs w:val="16"/>
      </w:rPr>
      <w:t>—</w:t>
    </w:r>
    <w:proofErr w:type="gramEnd"/>
    <w:r>
      <w:rPr>
        <w:rFonts w:ascii="Roboto Slab" w:hAnsi="Roboto Slab"/>
        <w:sz w:val="16"/>
        <w:szCs w:val="16"/>
      </w:rPr>
      <w:t xml:space="preserve"> </w:t>
    </w:r>
    <w:r w:rsidRPr="000A7660">
      <w:rPr>
        <w:rFonts w:ascii="Roboto Slab" w:hAnsi="Roboto Slab"/>
        <w:sz w:val="16"/>
        <w:szCs w:val="16"/>
      </w:rPr>
      <w:t xml:space="preserve"> Revised 2022</w:t>
    </w:r>
    <w:r>
      <w:rPr>
        <w:rFonts w:ascii="Roboto Slab" w:hAnsi="Roboto Slab"/>
        <w:sz w:val="16"/>
        <w:szCs w:val="16"/>
      </w:rPr>
      <w:t>, posted 11.13.2023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F9B8" w14:textId="77777777" w:rsidR="009611B6" w:rsidRDefault="009611B6" w:rsidP="009611B6">
      <w:r>
        <w:separator/>
      </w:r>
    </w:p>
  </w:footnote>
  <w:footnote w:type="continuationSeparator" w:id="0">
    <w:p w14:paraId="42A8387B" w14:textId="77777777" w:rsidR="009611B6" w:rsidRDefault="009611B6" w:rsidP="0096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8012" w14:textId="47420297" w:rsidR="009611B6" w:rsidRDefault="009611B6" w:rsidP="009611B6">
    <w:pPr>
      <w:pStyle w:val="Header"/>
      <w:jc w:val="right"/>
    </w:pPr>
    <w:r>
      <w:rPr>
        <w:noProof/>
      </w:rPr>
      <w:drawing>
        <wp:inline distT="0" distB="0" distL="0" distR="0" wp14:anchorId="4A6A35AB" wp14:editId="2A206C31">
          <wp:extent cx="2152650" cy="768146"/>
          <wp:effectExtent l="0" t="0" r="0" b="0"/>
          <wp:docPr id="340126526"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126526"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7546" cy="777030"/>
                  </a:xfrm>
                  <a:prstGeom prst="rect">
                    <a:avLst/>
                  </a:prstGeom>
                </pic:spPr>
              </pic:pic>
            </a:graphicData>
          </a:graphic>
        </wp:inline>
      </w:drawing>
    </w:r>
  </w:p>
  <w:p w14:paraId="4031AC36" w14:textId="77777777" w:rsidR="009611B6" w:rsidRDefault="009611B6" w:rsidP="009611B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B6"/>
    <w:rsid w:val="009611B6"/>
    <w:rsid w:val="00D14A85"/>
    <w:rsid w:val="00FE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22715"/>
  <w15:chartTrackingRefBased/>
  <w15:docId w15:val="{1F1A283C-04A5-45EF-B360-8C957FE7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1B6"/>
    <w:pPr>
      <w:spacing w:after="0" w:line="240" w:lineRule="auto"/>
    </w:pPr>
    <w:rPr>
      <w:rFonts w:ascii="Calibri" w:eastAsia="Times New Roman" w:hAnsi="Calibri" w:cs="Times New Roman"/>
      <w:kern w:val="0"/>
      <w:sz w:val="24"/>
      <w:szCs w:val="20"/>
      <w14:ligatures w14:val="none"/>
    </w:rPr>
  </w:style>
  <w:style w:type="paragraph" w:styleId="Heading2">
    <w:name w:val="heading 2"/>
    <w:basedOn w:val="Normal"/>
    <w:next w:val="Normal"/>
    <w:link w:val="Heading2Char"/>
    <w:uiPriority w:val="9"/>
    <w:semiHidden/>
    <w:unhideWhenUsed/>
    <w:qFormat/>
    <w:rsid w:val="009611B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B6"/>
    <w:pPr>
      <w:tabs>
        <w:tab w:val="center" w:pos="4680"/>
        <w:tab w:val="right" w:pos="9360"/>
      </w:tabs>
    </w:pPr>
  </w:style>
  <w:style w:type="character" w:customStyle="1" w:styleId="HeaderChar">
    <w:name w:val="Header Char"/>
    <w:basedOn w:val="DefaultParagraphFont"/>
    <w:link w:val="Header"/>
    <w:uiPriority w:val="99"/>
    <w:rsid w:val="009611B6"/>
  </w:style>
  <w:style w:type="paragraph" w:styleId="Footer">
    <w:name w:val="footer"/>
    <w:basedOn w:val="Normal"/>
    <w:link w:val="FooterChar"/>
    <w:uiPriority w:val="99"/>
    <w:unhideWhenUsed/>
    <w:rsid w:val="009611B6"/>
    <w:pPr>
      <w:tabs>
        <w:tab w:val="center" w:pos="4680"/>
        <w:tab w:val="right" w:pos="9360"/>
      </w:tabs>
    </w:pPr>
  </w:style>
  <w:style w:type="character" w:customStyle="1" w:styleId="FooterChar">
    <w:name w:val="Footer Char"/>
    <w:basedOn w:val="DefaultParagraphFont"/>
    <w:link w:val="Footer"/>
    <w:uiPriority w:val="99"/>
    <w:rsid w:val="009611B6"/>
  </w:style>
  <w:style w:type="paragraph" w:customStyle="1" w:styleId="Heading2-TopOfPage">
    <w:name w:val="Heading 2 - TopOfPage"/>
    <w:basedOn w:val="Heading2"/>
    <w:qFormat/>
    <w:rsid w:val="009611B6"/>
    <w:pPr>
      <w:keepLines w:val="0"/>
      <w:pageBreakBefore/>
      <w:spacing w:before="120" w:after="60"/>
      <w:contextualSpacing/>
    </w:pPr>
    <w:rPr>
      <w:rFonts w:ascii="Calibri" w:eastAsia="Times New Roman" w:hAnsi="Calibri" w:cs="Times New Roman"/>
      <w:b/>
      <w:bCs/>
      <w:iCs/>
      <w:caps/>
      <w:color w:val="auto"/>
      <w:sz w:val="24"/>
      <w:szCs w:val="28"/>
    </w:rPr>
  </w:style>
  <w:style w:type="character" w:customStyle="1" w:styleId="Heading2Char">
    <w:name w:val="Heading 2 Char"/>
    <w:basedOn w:val="DefaultParagraphFont"/>
    <w:link w:val="Heading2"/>
    <w:uiPriority w:val="9"/>
    <w:semiHidden/>
    <w:rsid w:val="009611B6"/>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38397C6AC104D97708CCC8727CCEF" ma:contentTypeVersion="17" ma:contentTypeDescription="Create a new document." ma:contentTypeScope="" ma:versionID="589d3e6bb55bbf1b7a7034bf37c01f2d">
  <xsd:schema xmlns:xsd="http://www.w3.org/2001/XMLSchema" xmlns:xs="http://www.w3.org/2001/XMLSchema" xmlns:p="http://schemas.microsoft.com/office/2006/metadata/properties" xmlns:ns2="2164efcd-eee6-491a-b3b9-c3c699e393e1" xmlns:ns3="649dfc26-3eec-4e7a-be0d-c806f37e5831" targetNamespace="http://schemas.microsoft.com/office/2006/metadata/properties" ma:root="true" ma:fieldsID="9ac4752cd757c4bcf90be46a3fed91df" ns2:_="" ns3:_="">
    <xsd:import namespace="2164efcd-eee6-491a-b3b9-c3c699e393e1"/>
    <xsd:import namespace="649dfc26-3eec-4e7a-be0d-c806f37e58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4efcd-eee6-491a-b3b9-c3c699e39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dfc26-3eec-4e7a-be0d-c806f37e58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b67cc-e2b8-4946-bfb2-b0075ea14dad}" ma:internalName="TaxCatchAll" ma:showField="CatchAllData" ma:web="649dfc26-3eec-4e7a-be0d-c806f37e5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9dfc26-3eec-4e7a-be0d-c806f37e5831"/>
    <lcf76f155ced4ddcb4097134ff3c332f xmlns="2164efcd-eee6-491a-b3b9-c3c699e393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367961-4A89-4DA4-919C-3C35A08A6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4efcd-eee6-491a-b3b9-c3c699e393e1"/>
    <ds:schemaRef ds:uri="649dfc26-3eec-4e7a-be0d-c806f37e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27A4A-EF5A-4A1F-965E-C6851BBD806E}">
  <ds:schemaRefs>
    <ds:schemaRef ds:uri="http://schemas.microsoft.com/sharepoint/v3/contenttype/forms"/>
  </ds:schemaRefs>
</ds:datastoreItem>
</file>

<file path=customXml/itemProps3.xml><?xml version="1.0" encoding="utf-8"?>
<ds:datastoreItem xmlns:ds="http://schemas.openxmlformats.org/officeDocument/2006/customXml" ds:itemID="{CFE6A250-4118-45C0-9F3F-BBC092A211E0}">
  <ds:schemaRefs>
    <ds:schemaRef ds:uri="http://purl.org/dc/terms/"/>
    <ds:schemaRef ds:uri="http://schemas.microsoft.com/office/2006/documentManagement/types"/>
    <ds:schemaRef ds:uri="http://purl.org/dc/dcmitype/"/>
    <ds:schemaRef ds:uri="http://www.w3.org/XML/1998/namespace"/>
    <ds:schemaRef ds:uri="649dfc26-3eec-4e7a-be0d-c806f37e5831"/>
    <ds:schemaRef ds:uri="http://schemas.microsoft.com/office/infopath/2007/PartnerControls"/>
    <ds:schemaRef ds:uri="http://schemas.openxmlformats.org/package/2006/metadata/core-properties"/>
    <ds:schemaRef ds:uri="2164efcd-eee6-491a-b3b9-c3c699e393e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Goodell</dc:creator>
  <cp:keywords/>
  <dc:description/>
  <cp:lastModifiedBy>Lisa Goodell</cp:lastModifiedBy>
  <cp:revision>2</cp:revision>
  <dcterms:created xsi:type="dcterms:W3CDTF">2023-11-13T16:34:00Z</dcterms:created>
  <dcterms:modified xsi:type="dcterms:W3CDTF">2023-11-13T16:34:00Z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0x01010092938397C6AC104D97708CCC8727CCEF</vt:lpwstr>
  </property>
</Properties>
</file>