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AB81" w14:textId="13346F43" w:rsidR="00D72E40" w:rsidRPr="00270034" w:rsidRDefault="006423DA" w:rsidP="00270034">
      <w:pPr>
        <w:widowControl w:val="0"/>
        <w:spacing w:after="120"/>
        <w:jc w:val="center"/>
        <w:rPr>
          <w:rFonts w:cstheme="minorHAnsi"/>
          <w:b/>
          <w:bCs/>
          <w:sz w:val="32"/>
          <w:szCs w:val="32"/>
        </w:rPr>
      </w:pPr>
      <w:r w:rsidRPr="00270034">
        <w:rPr>
          <w:rFonts w:cstheme="minorHAnsi"/>
          <w:b/>
          <w:bCs/>
          <w:sz w:val="32"/>
          <w:szCs w:val="32"/>
        </w:rPr>
        <w:t>INFLATION REDUCTION ACT</w:t>
      </w:r>
    </w:p>
    <w:p w14:paraId="54E2A907" w14:textId="727796A2" w:rsidR="00D90E16" w:rsidRPr="00270034" w:rsidRDefault="00BB42A6" w:rsidP="00270034">
      <w:pPr>
        <w:widowControl w:val="0"/>
        <w:spacing w:after="120"/>
        <w:jc w:val="center"/>
        <w:rPr>
          <w:rFonts w:cstheme="minorHAnsi"/>
          <w:b/>
          <w:bCs/>
          <w:sz w:val="32"/>
          <w:szCs w:val="32"/>
        </w:rPr>
      </w:pPr>
      <w:r w:rsidRPr="00270034">
        <w:rPr>
          <w:rFonts w:cstheme="minorHAnsi"/>
          <w:b/>
          <w:bCs/>
          <w:sz w:val="32"/>
          <w:szCs w:val="32"/>
        </w:rPr>
        <w:t xml:space="preserve">Tax Credits </w:t>
      </w:r>
      <w:r w:rsidR="00D72E40" w:rsidRPr="00270034">
        <w:rPr>
          <w:rFonts w:cstheme="minorHAnsi"/>
          <w:b/>
          <w:bCs/>
          <w:sz w:val="32"/>
          <w:szCs w:val="32"/>
        </w:rPr>
        <w:t xml:space="preserve">and Deductions </w:t>
      </w:r>
      <w:r w:rsidR="00481DB8" w:rsidRPr="00270034">
        <w:rPr>
          <w:rFonts w:cstheme="minorHAnsi"/>
          <w:b/>
          <w:bCs/>
          <w:sz w:val="32"/>
          <w:szCs w:val="32"/>
        </w:rPr>
        <w:t xml:space="preserve">for </w:t>
      </w:r>
      <w:r w:rsidRPr="00270034">
        <w:rPr>
          <w:rFonts w:cstheme="minorHAnsi"/>
          <w:b/>
          <w:bCs/>
          <w:sz w:val="32"/>
          <w:szCs w:val="32"/>
        </w:rPr>
        <w:t>Municipalities</w:t>
      </w:r>
    </w:p>
    <w:p w14:paraId="32A326C8" w14:textId="77777777" w:rsidR="00896201" w:rsidRPr="00270034" w:rsidRDefault="00896201" w:rsidP="00270034">
      <w:pPr>
        <w:widowControl w:val="0"/>
        <w:spacing w:after="120"/>
        <w:rPr>
          <w:rFonts w:cstheme="minorHAnsi"/>
          <w:b/>
          <w:bCs/>
        </w:rPr>
      </w:pPr>
    </w:p>
    <w:p w14:paraId="5B57137E" w14:textId="628C8FF6" w:rsidR="00C43893" w:rsidRPr="00270034" w:rsidRDefault="00C43893" w:rsidP="00270034">
      <w:pPr>
        <w:pStyle w:val="NormalWeb"/>
        <w:spacing w:before="0" w:beforeAutospacing="0" w:after="120" w:afterAutospacing="0" w:line="259" w:lineRule="auto"/>
        <w:rPr>
          <w:rFonts w:asciiTheme="minorHAnsi" w:hAnsiTheme="minorHAnsi" w:cstheme="minorHAnsi"/>
          <w:b/>
          <w:bCs/>
          <w:color w:val="174088"/>
          <w:sz w:val="28"/>
          <w:szCs w:val="28"/>
        </w:rPr>
      </w:pPr>
      <w:r w:rsidRPr="00270034">
        <w:rPr>
          <w:rFonts w:asciiTheme="minorHAnsi" w:hAnsiTheme="minorHAnsi" w:cstheme="minorHAnsi"/>
          <w:b/>
          <w:bCs/>
          <w:color w:val="174088"/>
          <w:sz w:val="28"/>
          <w:szCs w:val="28"/>
        </w:rPr>
        <w:t>How can non-tax paying entities use the Inflation Reduction Act’s tax incentives?</w:t>
      </w:r>
    </w:p>
    <w:p w14:paraId="3693A9F5" w14:textId="705D6FE5" w:rsidR="00C43893" w:rsidRPr="00270034" w:rsidRDefault="00C43893" w:rsidP="00270034">
      <w:pPr>
        <w:pStyle w:val="NormalWeb"/>
        <w:spacing w:before="0" w:beforeAutospacing="0" w:after="120" w:afterAutospacing="0" w:line="259" w:lineRule="auto"/>
        <w:rPr>
          <w:rFonts w:asciiTheme="minorHAnsi" w:hAnsiTheme="minorHAnsi" w:cstheme="minorHAnsi"/>
          <w:sz w:val="22"/>
          <w:szCs w:val="22"/>
        </w:rPr>
      </w:pPr>
      <w:r w:rsidRPr="00270034">
        <w:rPr>
          <w:rFonts w:asciiTheme="minorHAnsi" w:hAnsiTheme="minorHAnsi" w:cstheme="minorHAnsi"/>
          <w:sz w:val="22"/>
          <w:szCs w:val="22"/>
        </w:rPr>
        <w:t xml:space="preserve">In the </w:t>
      </w:r>
      <w:hyperlink r:id="rId11" w:anchor="faq-What-is-the-Inflation-Reduction-Act-of-2022?" w:history="1">
        <w:r w:rsidRPr="00270034">
          <w:rPr>
            <w:rStyle w:val="Hyperlink"/>
            <w:rFonts w:asciiTheme="minorHAnsi" w:hAnsiTheme="minorHAnsi" w:cstheme="minorHAnsi"/>
            <w:sz w:val="22"/>
            <w:szCs w:val="22"/>
          </w:rPr>
          <w:t>Inflation Reduction Act (IRA) of 2022</w:t>
        </w:r>
      </w:hyperlink>
      <w:r w:rsidRPr="00270034">
        <w:rPr>
          <w:rFonts w:asciiTheme="minorHAnsi" w:hAnsiTheme="minorHAnsi" w:cstheme="minorHAnsi"/>
          <w:sz w:val="22"/>
          <w:szCs w:val="22"/>
        </w:rPr>
        <w:t>, Congress authorized entities that don’t pay federal taxes, such as municipalities and municipal utilities, to use certain tax incentives through two mechanisms:</w:t>
      </w:r>
    </w:p>
    <w:p w14:paraId="59EBE608" w14:textId="77777777" w:rsidR="00C43893" w:rsidRPr="00270034" w:rsidRDefault="00C43893" w:rsidP="00270034">
      <w:pPr>
        <w:pStyle w:val="NormalWeb"/>
        <w:numPr>
          <w:ilvl w:val="0"/>
          <w:numId w:val="35"/>
        </w:numPr>
        <w:spacing w:before="0" w:beforeAutospacing="0" w:after="120" w:afterAutospacing="0" w:line="259" w:lineRule="auto"/>
        <w:rPr>
          <w:rFonts w:asciiTheme="minorHAnsi" w:hAnsiTheme="minorHAnsi" w:cstheme="minorHAnsi"/>
          <w:sz w:val="22"/>
          <w:szCs w:val="22"/>
        </w:rPr>
      </w:pPr>
      <w:r w:rsidRPr="002948E6">
        <w:rPr>
          <w:rFonts w:asciiTheme="minorHAnsi" w:hAnsiTheme="minorHAnsi" w:cstheme="minorHAnsi"/>
          <w:b/>
          <w:bCs/>
          <w:sz w:val="22"/>
          <w:szCs w:val="22"/>
        </w:rPr>
        <w:t>Direct Pay</w:t>
      </w:r>
      <w:r w:rsidRPr="00270034">
        <w:rPr>
          <w:rFonts w:asciiTheme="minorHAnsi" w:hAnsiTheme="minorHAnsi" w:cstheme="minorHAnsi"/>
          <w:sz w:val="22"/>
          <w:szCs w:val="22"/>
        </w:rPr>
        <w:t xml:space="preserve"> (Refundability) allows a non-tax paying entity to receive a cash payment (refund) from the IRS for the tax credit. The municipal direct-pay options are effective beginning tax year 2023. </w:t>
      </w:r>
      <w:r w:rsidRPr="00270034">
        <w:rPr>
          <w:rFonts w:asciiTheme="minorHAnsi" w:hAnsiTheme="minorHAnsi" w:cstheme="minorHAnsi"/>
          <w:i/>
          <w:iCs/>
          <w:sz w:val="22"/>
          <w:szCs w:val="22"/>
        </w:rPr>
        <w:t xml:space="preserve">When available, notification about the forms and instructions for monetizing direct pay tax credits will be posted to the IRS’ </w:t>
      </w:r>
      <w:hyperlink r:id="rId12" w:history="1">
        <w:r w:rsidRPr="00270034">
          <w:rPr>
            <w:rStyle w:val="Hyperlink"/>
            <w:rFonts w:asciiTheme="minorHAnsi" w:hAnsiTheme="minorHAnsi" w:cstheme="minorHAnsi"/>
            <w:i/>
            <w:iCs/>
            <w:sz w:val="22"/>
            <w:szCs w:val="22"/>
          </w:rPr>
          <w:t>IRA webpage</w:t>
        </w:r>
      </w:hyperlink>
      <w:r w:rsidRPr="00270034">
        <w:rPr>
          <w:rFonts w:asciiTheme="minorHAnsi" w:hAnsiTheme="minorHAnsi" w:cstheme="minorHAnsi"/>
          <w:i/>
          <w:iCs/>
          <w:sz w:val="22"/>
          <w:szCs w:val="22"/>
        </w:rPr>
        <w:t>.</w:t>
      </w:r>
    </w:p>
    <w:p w14:paraId="49E4AC6E" w14:textId="77777777" w:rsidR="00C43893" w:rsidRPr="00270034" w:rsidRDefault="00C43893" w:rsidP="00270034">
      <w:pPr>
        <w:pStyle w:val="NormalWeb"/>
        <w:numPr>
          <w:ilvl w:val="0"/>
          <w:numId w:val="35"/>
        </w:numPr>
        <w:spacing w:before="0" w:beforeAutospacing="0" w:after="120" w:afterAutospacing="0" w:line="259" w:lineRule="auto"/>
        <w:rPr>
          <w:rFonts w:asciiTheme="minorHAnsi" w:hAnsiTheme="minorHAnsi" w:cstheme="minorHAnsi"/>
          <w:sz w:val="22"/>
          <w:szCs w:val="22"/>
        </w:rPr>
      </w:pPr>
      <w:r w:rsidRPr="002948E6">
        <w:rPr>
          <w:rFonts w:asciiTheme="minorHAnsi" w:hAnsiTheme="minorHAnsi" w:cstheme="minorHAnsi"/>
          <w:b/>
          <w:bCs/>
          <w:sz w:val="22"/>
          <w:szCs w:val="22"/>
        </w:rPr>
        <w:t>Transfer of Credit</w:t>
      </w:r>
      <w:r w:rsidRPr="00270034">
        <w:rPr>
          <w:rFonts w:asciiTheme="minorHAnsi" w:hAnsiTheme="minorHAnsi" w:cstheme="minorHAnsi"/>
          <w:sz w:val="22"/>
          <w:szCs w:val="22"/>
        </w:rPr>
        <w:t xml:space="preserve"> (Transferability) allows non-tax paying entities to sell all or a portion of a tax credit to an unrelated eligible taxpayer.</w:t>
      </w:r>
    </w:p>
    <w:p w14:paraId="64B7C489" w14:textId="28D83564" w:rsidR="00C43893" w:rsidRPr="00270034" w:rsidRDefault="00C43893" w:rsidP="00270034">
      <w:pPr>
        <w:spacing w:after="120"/>
        <w:rPr>
          <w:rFonts w:cstheme="minorHAnsi"/>
        </w:rPr>
      </w:pPr>
      <w:r w:rsidRPr="00270034">
        <w:rPr>
          <w:rFonts w:cstheme="minorHAnsi"/>
        </w:rPr>
        <w:t>Credits available to municipalities are Direct Pay except for the energy efficient commercial building tax deduction.</w:t>
      </w:r>
    </w:p>
    <w:p w14:paraId="78FBAE08" w14:textId="77777777" w:rsidR="00C43893" w:rsidRPr="00270034" w:rsidRDefault="00C43893" w:rsidP="00270034">
      <w:pPr>
        <w:pStyle w:val="NormalWeb"/>
        <w:spacing w:before="0" w:beforeAutospacing="0" w:after="120" w:afterAutospacing="0" w:line="259" w:lineRule="auto"/>
        <w:rPr>
          <w:rFonts w:asciiTheme="minorHAnsi" w:hAnsiTheme="minorHAnsi" w:cstheme="minorHAnsi"/>
          <w:b/>
          <w:bCs/>
          <w:color w:val="174088"/>
          <w:sz w:val="28"/>
          <w:szCs w:val="28"/>
        </w:rPr>
      </w:pPr>
      <w:r w:rsidRPr="00270034">
        <w:rPr>
          <w:rFonts w:asciiTheme="minorHAnsi" w:hAnsiTheme="minorHAnsi" w:cstheme="minorHAnsi"/>
          <w:b/>
          <w:bCs/>
          <w:color w:val="174088"/>
          <w:sz w:val="28"/>
          <w:szCs w:val="28"/>
        </w:rPr>
        <w:t>What tax credits and tax deductions are available?</w:t>
      </w:r>
    </w:p>
    <w:p w14:paraId="6A50692E" w14:textId="6B141DD0" w:rsidR="00C43893" w:rsidRPr="00270034" w:rsidRDefault="00C43893" w:rsidP="00270034">
      <w:pPr>
        <w:tabs>
          <w:tab w:val="left" w:pos="2643"/>
        </w:tabs>
        <w:spacing w:after="120"/>
        <w:rPr>
          <w:rFonts w:cstheme="minorHAnsi"/>
        </w:rPr>
      </w:pPr>
      <w:r w:rsidRPr="00270034">
        <w:rPr>
          <w:rFonts w:cstheme="minorHAnsi"/>
        </w:rPr>
        <w:t>Relevant tax credits for Vermont municipalities are described on pages</w:t>
      </w:r>
      <w:r w:rsidR="00CA1DA0">
        <w:rPr>
          <w:rFonts w:cstheme="minorHAnsi"/>
        </w:rPr>
        <w:t xml:space="preserve"> 3-4</w:t>
      </w:r>
      <w:r w:rsidRPr="00270034">
        <w:rPr>
          <w:rFonts w:cstheme="minorHAnsi"/>
        </w:rPr>
        <w:t xml:space="preserve">. </w:t>
      </w:r>
      <w:r w:rsidRPr="00270034">
        <w:rPr>
          <w:rFonts w:cstheme="minorHAnsi"/>
          <w:b/>
        </w:rPr>
        <w:t>Production Tax Credits</w:t>
      </w:r>
      <w:r w:rsidRPr="00270034">
        <w:rPr>
          <w:rFonts w:cstheme="minorHAnsi"/>
        </w:rPr>
        <w:t xml:space="preserve"> provide a subsidy over time, based on kilowatt hour of energy produced and sold. </w:t>
      </w:r>
      <w:r w:rsidRPr="00270034">
        <w:rPr>
          <w:rFonts w:cstheme="minorHAnsi"/>
          <w:b/>
        </w:rPr>
        <w:t>Investment Tax Credits</w:t>
      </w:r>
      <w:r w:rsidRPr="00270034">
        <w:rPr>
          <w:rFonts w:cstheme="minorHAnsi"/>
        </w:rPr>
        <w:t xml:space="preserve"> provide a subsidy to stimulate investment in specific activities. The credits have two tiers: a “base rate” and one or more “bonus rates”. To qualify for a bonus, certain requirements must be met. Most bonuses are stackable, meaning they are additive to the base rate. In some cases, meeting all bonus requirements provides a tax credit of 50-60% of the project cost. Guidance for these </w:t>
      </w:r>
      <w:r w:rsidR="00536A6B" w:rsidRPr="00270034">
        <w:rPr>
          <w:rFonts w:cstheme="minorHAnsi"/>
        </w:rPr>
        <w:t xml:space="preserve">tax </w:t>
      </w:r>
      <w:r w:rsidRPr="00270034">
        <w:rPr>
          <w:rFonts w:cstheme="minorHAnsi"/>
        </w:rPr>
        <w:t>new provisions is pending from the US Treasury and Internal Revenue Service.</w:t>
      </w:r>
    </w:p>
    <w:p w14:paraId="313D795A" w14:textId="77777777" w:rsidR="00C43893" w:rsidRPr="00270034" w:rsidRDefault="00C43893" w:rsidP="00270034">
      <w:pPr>
        <w:spacing w:after="120"/>
        <w:rPr>
          <w:rFonts w:cstheme="minorHAnsi"/>
          <w:b/>
          <w:bCs/>
          <w:color w:val="174088"/>
          <w:sz w:val="28"/>
          <w:szCs w:val="28"/>
        </w:rPr>
      </w:pPr>
      <w:r w:rsidRPr="00270034">
        <w:rPr>
          <w:rFonts w:cstheme="minorHAnsi"/>
          <w:b/>
          <w:bCs/>
          <w:color w:val="174088"/>
          <w:sz w:val="28"/>
          <w:szCs w:val="28"/>
        </w:rPr>
        <w:t>What are the bonuses that apply to base rates?</w:t>
      </w:r>
    </w:p>
    <w:p w14:paraId="66543424" w14:textId="77777777" w:rsidR="002A777E" w:rsidRPr="00270034" w:rsidRDefault="002A777E" w:rsidP="002A777E">
      <w:pPr>
        <w:spacing w:after="120"/>
        <w:rPr>
          <w:rFonts w:cstheme="minorHAnsi"/>
        </w:rPr>
      </w:pPr>
      <w:r w:rsidRPr="00270034">
        <w:rPr>
          <w:rFonts w:cstheme="minorHAnsi"/>
        </w:rPr>
        <w:t>Bonus rate requirements vary by tax credit. Bonus rate criteria include:</w:t>
      </w:r>
    </w:p>
    <w:p w14:paraId="4761386C" w14:textId="721B3034" w:rsidR="002A777E" w:rsidRPr="00414D3A" w:rsidRDefault="000402AC" w:rsidP="002A777E">
      <w:pPr>
        <w:pStyle w:val="ListParagraph"/>
        <w:numPr>
          <w:ilvl w:val="0"/>
          <w:numId w:val="11"/>
        </w:numPr>
        <w:spacing w:after="120"/>
        <w:ind w:left="504"/>
        <w:contextualSpacing w:val="0"/>
        <w:rPr>
          <w:rFonts w:cstheme="minorHAnsi"/>
        </w:rPr>
      </w:pPr>
      <w:hyperlink r:id="rId13" w:anchor="faq-What-is-prevailing-wage?--" w:history="1">
        <w:r w:rsidR="002A777E" w:rsidRPr="00BC6DB3">
          <w:rPr>
            <w:rStyle w:val="Hyperlink"/>
            <w:rFonts w:cstheme="minorHAnsi"/>
            <w:b/>
            <w:bCs/>
          </w:rPr>
          <w:t>Prevailing Wage:</w:t>
        </w:r>
      </w:hyperlink>
      <w:r w:rsidR="002A777E" w:rsidRPr="00BC6DB3">
        <w:rPr>
          <w:rFonts w:cstheme="minorHAnsi"/>
        </w:rPr>
        <w:t xml:space="preserve"> </w:t>
      </w:r>
      <w:r w:rsidR="002A777E" w:rsidRPr="00414D3A">
        <w:rPr>
          <w:rFonts w:cstheme="minorHAnsi"/>
        </w:rPr>
        <w:t xml:space="preserve"> Federal prevailing wages, informally known as Davis-Bacon wages, must be paid to laborers and mechanics participating in construction, alternation, and repair activities. Prevailing wage is mandatory to earn certain base credits. See VLCT’s </w:t>
      </w:r>
      <w:hyperlink r:id="rId14" w:history="1">
        <w:r w:rsidR="002A777E" w:rsidRPr="00414D3A">
          <w:rPr>
            <w:rStyle w:val="Hyperlink"/>
            <w:rFonts w:cstheme="minorHAnsi"/>
            <w:i/>
            <w:iCs/>
          </w:rPr>
          <w:t>Guide to Obtaining Federal Davis-Bacon Wage Determinations</w:t>
        </w:r>
      </w:hyperlink>
      <w:r w:rsidR="002A777E" w:rsidRPr="00414D3A">
        <w:rPr>
          <w:rFonts w:cstheme="minorHAnsi"/>
        </w:rPr>
        <w:t>.</w:t>
      </w:r>
    </w:p>
    <w:p w14:paraId="77BE5DEC" w14:textId="77777777" w:rsidR="002A777E" w:rsidRPr="00270034" w:rsidRDefault="000402AC" w:rsidP="002A777E">
      <w:pPr>
        <w:pStyle w:val="ListParagraph"/>
        <w:numPr>
          <w:ilvl w:val="0"/>
          <w:numId w:val="11"/>
        </w:numPr>
        <w:spacing w:after="120"/>
        <w:ind w:left="504"/>
        <w:contextualSpacing w:val="0"/>
        <w:rPr>
          <w:rFonts w:cstheme="minorHAnsi"/>
        </w:rPr>
      </w:pPr>
      <w:hyperlink r:id="rId15" w:anchor="faq-What-is-a-Registered-Apprenticeship?" w:history="1">
        <w:r w:rsidR="002A777E" w:rsidRPr="00414D3A">
          <w:rPr>
            <w:rStyle w:val="Hyperlink"/>
            <w:rFonts w:cstheme="minorHAnsi"/>
            <w:b/>
            <w:bCs/>
          </w:rPr>
          <w:t>Apprenticeship:</w:t>
        </w:r>
        <w:r w:rsidR="002A777E" w:rsidRPr="00414D3A">
          <w:rPr>
            <w:rStyle w:val="Hyperlink"/>
            <w:rFonts w:cstheme="minorHAnsi"/>
          </w:rPr>
          <w:t xml:space="preserve"> </w:t>
        </w:r>
      </w:hyperlink>
      <w:r w:rsidR="002A777E" w:rsidRPr="00414D3A">
        <w:rPr>
          <w:rFonts w:cstheme="minorHAnsi"/>
        </w:rPr>
        <w:t xml:space="preserve"> A percentage of total labor hours must be provided by qualified apprentices. The percentage is based when construction begins: 10% through December 31, 2022; 12.5% during calendar year 2023; and 15% beginning January 1, 2024. Apprenticeships are mandatory for some credits. The Vermont Department of Labor maintains a list of Registered Apprenticeship Sponsors. A contractor can request a waiver. The bonus credit is awarded if the contractor made a </w:t>
      </w:r>
      <w:hyperlink r:id="rId16" w:anchor="faq-Can-a-project-still-qualify-for-a-tax-incentive-or-bonus-if-Registered-Apprentices-aren%E2%80%99t-available?" w:history="1">
        <w:r w:rsidR="002A777E" w:rsidRPr="00414D3A">
          <w:rPr>
            <w:rStyle w:val="Hyperlink"/>
            <w:rFonts w:cstheme="minorHAnsi"/>
          </w:rPr>
          <w:t>Good Faith Effort (§ 45(b)(8))</w:t>
        </w:r>
      </w:hyperlink>
      <w:r w:rsidR="002A777E" w:rsidRPr="00414D3A">
        <w:rPr>
          <w:rFonts w:cstheme="minorHAnsi"/>
        </w:rPr>
        <w:t xml:space="preserve"> and th</w:t>
      </w:r>
      <w:r w:rsidR="002A777E" w:rsidRPr="00270034">
        <w:rPr>
          <w:rFonts w:cstheme="minorHAnsi"/>
        </w:rPr>
        <w:t>ere are no available qualified apprentices.</w:t>
      </w:r>
    </w:p>
    <w:p w14:paraId="5D262D01" w14:textId="77777777" w:rsidR="002A777E" w:rsidRPr="00414D3A" w:rsidRDefault="000402AC" w:rsidP="002A777E">
      <w:pPr>
        <w:pStyle w:val="ListParagraph"/>
        <w:numPr>
          <w:ilvl w:val="0"/>
          <w:numId w:val="11"/>
        </w:numPr>
        <w:spacing w:after="120"/>
        <w:ind w:left="504"/>
        <w:contextualSpacing w:val="0"/>
        <w:rPr>
          <w:rFonts w:cstheme="minorHAnsi"/>
        </w:rPr>
      </w:pPr>
      <w:hyperlink r:id="rId17" w:anchor="faq-What-is-the-Buy-America-domestic-content-requirement?" w:history="1">
        <w:r w:rsidR="002A777E" w:rsidRPr="00414D3A">
          <w:rPr>
            <w:rStyle w:val="Hyperlink"/>
            <w:rFonts w:cstheme="minorHAnsi"/>
            <w:b/>
            <w:bCs/>
          </w:rPr>
          <w:t>Domestic Content:</w:t>
        </w:r>
      </w:hyperlink>
      <w:r w:rsidR="002A777E" w:rsidRPr="00414D3A">
        <w:rPr>
          <w:rFonts w:cstheme="minorHAnsi"/>
        </w:rPr>
        <w:t xml:space="preserve">  Projects must be constructed using domestically sourced steel and iron, as well as manufactured products, and construction materials must be manufactured in the United States. This </w:t>
      </w:r>
      <w:hyperlink r:id="rId18" w:history="1">
        <w:r w:rsidR="002A777E" w:rsidRPr="00414D3A">
          <w:rPr>
            <w:rStyle w:val="Hyperlink"/>
            <w:rFonts w:cstheme="minorHAnsi"/>
          </w:rPr>
          <w:t>Fact Sheet and FAQ</w:t>
        </w:r>
      </w:hyperlink>
      <w:r w:rsidR="002A777E" w:rsidRPr="00414D3A">
        <w:rPr>
          <w:rFonts w:cstheme="minorHAnsi"/>
        </w:rPr>
        <w:t xml:space="preserve"> from the Office of Management describes requirements</w:t>
      </w:r>
      <w:r w:rsidR="002A777E" w:rsidRPr="00414D3A">
        <w:rPr>
          <w:rFonts w:cstheme="minorHAnsi"/>
          <w:color w:val="111111"/>
          <w:shd w:val="clear" w:color="auto" w:fill="FFFFFF"/>
        </w:rPr>
        <w:t xml:space="preserve">. IRA phases in domestic content requirements for manufactured products based on when construction begins: 40% through December 31, 2024; 45% during calendar year 2025; 50% during calendar year 2026; and 55% beginning January 1, 2027. Federal funds recipients are required to certify, or provide equivalent documentation, regarding proof of compliance. Approved waivers are listed on agency websites and on </w:t>
      </w:r>
      <w:hyperlink r:id="rId19" w:history="1">
        <w:r w:rsidR="002A777E" w:rsidRPr="00414D3A">
          <w:rPr>
            <w:rStyle w:val="Hyperlink"/>
            <w:rFonts w:cstheme="minorHAnsi"/>
            <w:shd w:val="clear" w:color="auto" w:fill="FFFFFF"/>
          </w:rPr>
          <w:t>MadeinAmerica.gov</w:t>
        </w:r>
      </w:hyperlink>
      <w:r w:rsidR="002A777E" w:rsidRPr="00414D3A">
        <w:rPr>
          <w:rFonts w:cstheme="minorHAnsi"/>
          <w:color w:val="111111"/>
          <w:shd w:val="clear" w:color="auto" w:fill="FFFFFF"/>
        </w:rPr>
        <w:t xml:space="preserve">. </w:t>
      </w:r>
    </w:p>
    <w:p w14:paraId="1C996C63" w14:textId="77777777" w:rsidR="002A777E" w:rsidRPr="00270034" w:rsidRDefault="000402AC" w:rsidP="002A777E">
      <w:pPr>
        <w:pStyle w:val="ListParagraph"/>
        <w:numPr>
          <w:ilvl w:val="0"/>
          <w:numId w:val="11"/>
        </w:numPr>
        <w:spacing w:after="120"/>
        <w:ind w:left="504"/>
        <w:contextualSpacing w:val="0"/>
        <w:rPr>
          <w:rFonts w:cstheme="minorHAnsi"/>
        </w:rPr>
      </w:pPr>
      <w:hyperlink r:id="rId20" w:anchor="faq-What-does-energy-community-mean-for-Inflation-Reduction-Act-tax-credits?" w:history="1">
        <w:r w:rsidR="002A777E" w:rsidRPr="00414D3A">
          <w:rPr>
            <w:rStyle w:val="Hyperlink"/>
            <w:rFonts w:cstheme="minorHAnsi"/>
            <w:b/>
            <w:bCs/>
          </w:rPr>
          <w:t>Energy Communities:</w:t>
        </w:r>
        <w:r w:rsidR="002A777E" w:rsidRPr="00414D3A">
          <w:rPr>
            <w:rStyle w:val="Hyperlink"/>
            <w:rFonts w:cstheme="minorHAnsi"/>
            <w:i/>
            <w:iCs/>
          </w:rPr>
          <w:t xml:space="preserve"> </w:t>
        </w:r>
      </w:hyperlink>
      <w:r w:rsidR="002A777E" w:rsidRPr="00414D3A">
        <w:rPr>
          <w:rFonts w:cstheme="minorHAnsi"/>
        </w:rPr>
        <w:t xml:space="preserve"> Project must be located on a brownfield site or in a former fossil fuel community.  Vermont’s qualification is expected to be for brownfield sites. A few northern census tracts may qualify based on natural gas. The Vermont Agenc</w:t>
      </w:r>
      <w:r w:rsidR="002A777E" w:rsidRPr="00270034">
        <w:rPr>
          <w:rFonts w:cstheme="minorHAnsi"/>
        </w:rPr>
        <w:t xml:space="preserve">y of Natural Resources maintains a searchable </w:t>
      </w:r>
      <w:hyperlink r:id="rId21" w:history="1">
        <w:r w:rsidR="002A777E" w:rsidRPr="00270034">
          <w:rPr>
            <w:rStyle w:val="Hyperlink"/>
            <w:rFonts w:cstheme="minorHAnsi"/>
          </w:rPr>
          <w:t>Brownfield Site List</w:t>
        </w:r>
      </w:hyperlink>
      <w:r w:rsidR="002A777E" w:rsidRPr="00270034">
        <w:rPr>
          <w:rFonts w:cstheme="minorHAnsi"/>
        </w:rPr>
        <w:t xml:space="preserve"> as part of its Vermont Environmental Research Tool.</w:t>
      </w:r>
      <w:r w:rsidR="002A777E">
        <w:rPr>
          <w:rFonts w:cstheme="minorHAnsi"/>
        </w:rPr>
        <w:t xml:space="preserve"> The US Treasury will develop guidance for this definition.</w:t>
      </w:r>
    </w:p>
    <w:p w14:paraId="0EDA13D4" w14:textId="170831EC" w:rsidR="00C43893" w:rsidRPr="002A777E" w:rsidRDefault="002A777E" w:rsidP="002A777E">
      <w:pPr>
        <w:pStyle w:val="ListParagraph"/>
        <w:numPr>
          <w:ilvl w:val="0"/>
          <w:numId w:val="11"/>
        </w:numPr>
        <w:spacing w:after="120"/>
        <w:ind w:left="504"/>
        <w:contextualSpacing w:val="0"/>
        <w:rPr>
          <w:rFonts w:cstheme="minorHAnsi"/>
        </w:rPr>
      </w:pPr>
      <w:r w:rsidRPr="002948E6">
        <w:rPr>
          <w:rFonts w:cstheme="minorHAnsi"/>
          <w:b/>
          <w:bCs/>
        </w:rPr>
        <w:t>Environmental Justice:</w:t>
      </w:r>
      <w:r w:rsidRPr="00270034">
        <w:rPr>
          <w:rFonts w:cstheme="minorHAnsi"/>
        </w:rPr>
        <w:t xml:space="preserve">  Project must be located </w:t>
      </w:r>
      <w:r w:rsidRPr="00CE5964">
        <w:rPr>
          <w:rFonts w:cstheme="minorHAnsi"/>
        </w:rPr>
        <w:t xml:space="preserve">in a </w:t>
      </w:r>
      <w:hyperlink r:id="rId22" w:anchor="faq-What-does-low-income-community-mean-for-Inflation-Reduction-Act-tax-credits?" w:history="1">
        <w:r w:rsidRPr="00CE5964">
          <w:rPr>
            <w:rStyle w:val="Hyperlink"/>
            <w:rFonts w:cstheme="minorHAnsi"/>
          </w:rPr>
          <w:t>low-income community (IRC § 45D(e))</w:t>
        </w:r>
      </w:hyperlink>
      <w:r w:rsidRPr="00CE5964">
        <w:rPr>
          <w:rFonts w:cstheme="minorHAnsi"/>
        </w:rPr>
        <w:t xml:space="preserve"> or non-urban census tract, benefit a </w:t>
      </w:r>
      <w:hyperlink r:id="rId23" w:anchor="faq-What-does-low-income-residential-building-mean-for-Inflation-Reduction-Act-tax-credits?" w:history="1">
        <w:r w:rsidRPr="00CE5964">
          <w:rPr>
            <w:rStyle w:val="Hyperlink"/>
            <w:rFonts w:cstheme="minorHAnsi"/>
          </w:rPr>
          <w:t xml:space="preserve">low-income residential building </w:t>
        </w:r>
        <w:bookmarkStart w:id="0" w:name="(h)(2)(B)"/>
        <w:r w:rsidRPr="00CE5964">
          <w:rPr>
            <w:rStyle w:val="Hyperlink"/>
            <w:rFonts w:cstheme="minorHAnsi"/>
          </w:rPr>
          <w:t>(</w:t>
        </w:r>
        <w:r w:rsidRPr="00CE5964">
          <w:rPr>
            <w:rStyle w:val="Hyperlink"/>
            <w:rFonts w:cstheme="minorHAnsi"/>
            <w:shd w:val="clear" w:color="auto" w:fill="FFFFFF"/>
          </w:rPr>
          <w:t>IRC § 48E(h)(2)(B)</w:t>
        </w:r>
        <w:bookmarkEnd w:id="0"/>
        <w:r w:rsidRPr="00CE5964">
          <w:rPr>
            <w:rStyle w:val="Hyperlink"/>
            <w:rFonts w:cstheme="minorHAnsi"/>
            <w:shd w:val="clear" w:color="auto" w:fill="FFFFFF"/>
          </w:rPr>
          <w:t>),</w:t>
        </w:r>
      </w:hyperlink>
      <w:r w:rsidRPr="00CE5964">
        <w:rPr>
          <w:rFonts w:cstheme="minorHAnsi"/>
          <w:color w:val="333333"/>
          <w:shd w:val="clear" w:color="auto" w:fill="FFFFFF"/>
        </w:rPr>
        <w:t xml:space="preserve"> </w:t>
      </w:r>
      <w:r w:rsidRPr="00CE5964">
        <w:rPr>
          <w:rFonts w:cstheme="minorHAnsi"/>
        </w:rPr>
        <w:t xml:space="preserve">or provide a </w:t>
      </w:r>
      <w:hyperlink r:id="rId24" w:anchor="faq-What-does-low-income-economic-benefit-mean-for-Inflation-Reduction-Act-tax-credits?" w:history="1">
        <w:r w:rsidRPr="00CE5964">
          <w:rPr>
            <w:rStyle w:val="Hyperlink"/>
            <w:rFonts w:cstheme="minorHAnsi"/>
          </w:rPr>
          <w:t>low-income economic benefit (</w:t>
        </w:r>
        <w:bookmarkStart w:id="1" w:name="(h)(2)(C)"/>
        <w:r w:rsidRPr="00CE5964">
          <w:rPr>
            <w:rStyle w:val="Hyperlink"/>
            <w:rFonts w:cstheme="minorHAnsi"/>
            <w:shd w:val="clear" w:color="auto" w:fill="FFFFFF"/>
          </w:rPr>
          <w:t>IRC § 48E(h)(2)(C)</w:t>
        </w:r>
        <w:bookmarkEnd w:id="1"/>
        <w:r w:rsidRPr="00CE5964">
          <w:rPr>
            <w:rStyle w:val="Hyperlink"/>
            <w:rFonts w:cstheme="minorHAnsi"/>
          </w:rPr>
          <w:t>).</w:t>
        </w:r>
      </w:hyperlink>
      <w:r w:rsidRPr="002A777E">
        <w:rPr>
          <w:rFonts w:cstheme="minorHAnsi"/>
        </w:rPr>
        <w:t xml:space="preserve">  Low</w:t>
      </w:r>
      <w:r w:rsidR="009E6B04" w:rsidRPr="002A777E">
        <w:rPr>
          <w:rFonts w:cstheme="minorHAnsi"/>
        </w:rPr>
        <w:t>-income community has the same definition as for New Market Tax Credit</w:t>
      </w:r>
      <w:r w:rsidR="003A50D4">
        <w:rPr>
          <w:rFonts w:cstheme="minorHAnsi"/>
        </w:rPr>
        <w:t>s</w:t>
      </w:r>
      <w:r w:rsidR="009E6B04" w:rsidRPr="002A777E">
        <w:rPr>
          <w:rFonts w:cstheme="minorHAnsi"/>
        </w:rPr>
        <w:t>.</w:t>
      </w:r>
    </w:p>
    <w:p w14:paraId="2C9B1385" w14:textId="77777777" w:rsidR="004D7DCD" w:rsidRPr="004D7DCD" w:rsidRDefault="004D7DCD" w:rsidP="004D7DCD">
      <w:pPr>
        <w:spacing w:after="120"/>
        <w:rPr>
          <w:rFonts w:cstheme="minorHAnsi"/>
          <w:b/>
          <w:bCs/>
          <w:color w:val="174088"/>
          <w:sz w:val="28"/>
          <w:szCs w:val="28"/>
        </w:rPr>
      </w:pPr>
      <w:r w:rsidRPr="004D7DCD">
        <w:rPr>
          <w:rFonts w:cstheme="minorHAnsi"/>
          <w:b/>
          <w:bCs/>
          <w:color w:val="174088"/>
          <w:sz w:val="28"/>
          <w:szCs w:val="28"/>
        </w:rPr>
        <w:t>Which projects benefit more from Production versus Investment Tax Credits?</w:t>
      </w:r>
    </w:p>
    <w:p w14:paraId="54489EF8" w14:textId="1DF51D3F" w:rsidR="004D7DCD" w:rsidRPr="00B91D3A" w:rsidRDefault="004D7DCD" w:rsidP="00B91D3A">
      <w:pPr>
        <w:spacing w:after="120"/>
        <w:rPr>
          <w:rFonts w:cstheme="minorHAnsi"/>
        </w:rPr>
      </w:pPr>
      <w:r w:rsidRPr="00B91D3A">
        <w:rPr>
          <w:rFonts w:cstheme="minorHAnsi"/>
        </w:rPr>
        <w:t>Projects using Production Tax Credits must sell the power produced to an unrelated party. In general, large-scale projects will receive more value from the Production Tax Credit. Based on current technology, the Investment Tax Credit generally works better for smaller scale projects, larger scale photovoltaic projects in less sunny locations, projects incurring high installation costs, or projects qualifying for bonus credits. (</w:t>
      </w:r>
      <w:r w:rsidR="00CA664C">
        <w:rPr>
          <w:rFonts w:cstheme="minorHAnsi"/>
        </w:rPr>
        <w:t>A</w:t>
      </w:r>
      <w:r w:rsidRPr="00B91D3A">
        <w:rPr>
          <w:rFonts w:cstheme="minorHAnsi"/>
        </w:rPr>
        <w:t xml:space="preserve">dapted from US Department of Energy, </w:t>
      </w:r>
      <w:hyperlink r:id="rId25" w:history="1">
        <w:r w:rsidRPr="00B91D3A">
          <w:rPr>
            <w:rStyle w:val="Hyperlink"/>
            <w:rFonts w:cstheme="minorHAnsi"/>
            <w:i/>
            <w:iCs/>
          </w:rPr>
          <w:t>Federal Solar Tax Credits for Businesses</w:t>
        </w:r>
      </w:hyperlink>
      <w:r w:rsidRPr="00B91D3A">
        <w:rPr>
          <w:rFonts w:cstheme="minorHAnsi"/>
        </w:rPr>
        <w:t>).</w:t>
      </w:r>
    </w:p>
    <w:p w14:paraId="5F375453" w14:textId="77777777" w:rsidR="00C43893" w:rsidRPr="00270034" w:rsidRDefault="00C43893" w:rsidP="00270034">
      <w:pPr>
        <w:widowControl w:val="0"/>
        <w:spacing w:after="120"/>
        <w:rPr>
          <w:rFonts w:cstheme="minorHAnsi"/>
          <w:b/>
          <w:bCs/>
          <w:color w:val="174088"/>
          <w:sz w:val="28"/>
          <w:szCs w:val="28"/>
        </w:rPr>
      </w:pPr>
      <w:r w:rsidRPr="00270034">
        <w:rPr>
          <w:rFonts w:cstheme="minorHAnsi"/>
          <w:b/>
          <w:bCs/>
          <w:color w:val="174088"/>
          <w:sz w:val="28"/>
          <w:szCs w:val="28"/>
        </w:rPr>
        <w:t>What should municipalities understand now?</w:t>
      </w:r>
    </w:p>
    <w:p w14:paraId="68AAE9B6" w14:textId="77777777" w:rsidR="00C43893" w:rsidRPr="00270034" w:rsidRDefault="00C43893" w:rsidP="00270034">
      <w:pPr>
        <w:widowControl w:val="0"/>
        <w:spacing w:after="120"/>
        <w:rPr>
          <w:rFonts w:cstheme="minorHAnsi"/>
        </w:rPr>
      </w:pPr>
      <w:r w:rsidRPr="00270034">
        <w:rPr>
          <w:rFonts w:cstheme="minorHAnsi"/>
        </w:rPr>
        <w:t>The details of implementing the new law are under development.  For now, municipalities should understand that:</w:t>
      </w:r>
    </w:p>
    <w:p w14:paraId="7FD4EB17" w14:textId="77777777" w:rsidR="00C43893" w:rsidRPr="00270034" w:rsidRDefault="00C43893" w:rsidP="00270034">
      <w:pPr>
        <w:pStyle w:val="NormalWeb"/>
        <w:widowControl w:val="0"/>
        <w:numPr>
          <w:ilvl w:val="0"/>
          <w:numId w:val="7"/>
        </w:numPr>
        <w:spacing w:before="0" w:beforeAutospacing="0" w:after="120" w:afterAutospacing="0" w:line="259" w:lineRule="auto"/>
        <w:ind w:left="504"/>
        <w:rPr>
          <w:rFonts w:asciiTheme="minorHAnsi" w:hAnsiTheme="minorHAnsi" w:cstheme="minorHAnsi"/>
          <w:sz w:val="22"/>
          <w:szCs w:val="22"/>
        </w:rPr>
      </w:pPr>
      <w:r w:rsidRPr="00270034">
        <w:rPr>
          <w:rFonts w:asciiTheme="minorHAnsi" w:hAnsiTheme="minorHAnsi" w:cstheme="minorHAnsi"/>
          <w:sz w:val="22"/>
          <w:szCs w:val="22"/>
        </w:rPr>
        <w:t>monetizing the credits and deductions can lower purchase and development costs.</w:t>
      </w:r>
    </w:p>
    <w:p w14:paraId="264BDADA" w14:textId="77777777" w:rsidR="00C43893" w:rsidRPr="00270034" w:rsidRDefault="00C43893" w:rsidP="00270034">
      <w:pPr>
        <w:pStyle w:val="ListParagraph"/>
        <w:widowControl w:val="0"/>
        <w:numPr>
          <w:ilvl w:val="0"/>
          <w:numId w:val="7"/>
        </w:numPr>
        <w:spacing w:after="120"/>
        <w:ind w:left="504"/>
        <w:contextualSpacing w:val="0"/>
        <w:rPr>
          <w:rFonts w:cstheme="minorHAnsi"/>
        </w:rPr>
      </w:pPr>
      <w:r w:rsidRPr="00270034">
        <w:rPr>
          <w:rFonts w:cstheme="minorHAnsi"/>
        </w:rPr>
        <w:t xml:space="preserve">project size, final IRS requirements, and other factors will determine whether tax incentives are beneficial. </w:t>
      </w:r>
    </w:p>
    <w:p w14:paraId="47179CA9" w14:textId="77777777" w:rsidR="00C43893" w:rsidRPr="00270034" w:rsidRDefault="00C43893" w:rsidP="00270034">
      <w:pPr>
        <w:pStyle w:val="ListParagraph"/>
        <w:widowControl w:val="0"/>
        <w:numPr>
          <w:ilvl w:val="0"/>
          <w:numId w:val="7"/>
        </w:numPr>
        <w:spacing w:after="120"/>
        <w:ind w:left="504"/>
        <w:contextualSpacing w:val="0"/>
        <w:rPr>
          <w:rFonts w:cstheme="minorHAnsi"/>
        </w:rPr>
      </w:pPr>
      <w:r w:rsidRPr="00270034">
        <w:rPr>
          <w:rFonts w:cstheme="minorHAnsi"/>
        </w:rPr>
        <w:t>per IRS guidance, using these tax credits may reduce the depreciable value of an asset.</w:t>
      </w:r>
    </w:p>
    <w:p w14:paraId="6FE1D376" w14:textId="75F86C9F" w:rsidR="00C43893" w:rsidRPr="00270034" w:rsidRDefault="00C43893" w:rsidP="00270034">
      <w:pPr>
        <w:pStyle w:val="ListParagraph"/>
        <w:widowControl w:val="0"/>
        <w:numPr>
          <w:ilvl w:val="0"/>
          <w:numId w:val="7"/>
        </w:numPr>
        <w:spacing w:after="120"/>
        <w:ind w:left="504"/>
        <w:contextualSpacing w:val="0"/>
        <w:rPr>
          <w:rFonts w:cstheme="minorHAnsi"/>
        </w:rPr>
      </w:pPr>
      <w:r w:rsidRPr="00270034">
        <w:rPr>
          <w:rFonts w:cstheme="minorHAnsi"/>
        </w:rPr>
        <w:t xml:space="preserve">meeting labor provisions is required to earn the base rate for some credits. For other credits, they are an opportunity to achieve significant bonuses (6% credit </w:t>
      </w:r>
      <w:r w:rsidR="00452580">
        <w:rPr>
          <w:rFonts w:eastAsia="Wingdings" w:cstheme="minorHAnsi"/>
        </w:rPr>
        <w:sym w:font="Wingdings" w:char="F0E8"/>
      </w:r>
      <w:r w:rsidRPr="00270034">
        <w:rPr>
          <w:rFonts w:cstheme="minorHAnsi"/>
        </w:rPr>
        <w:t xml:space="preserve"> 30% credit). Meeting all bonus requirements can increase a total credit to 50-60% for some incentives.</w:t>
      </w:r>
    </w:p>
    <w:p w14:paraId="16265B06" w14:textId="77777777" w:rsidR="000D081B" w:rsidRPr="00270034" w:rsidRDefault="000D081B" w:rsidP="000D081B">
      <w:pPr>
        <w:pStyle w:val="ListParagraph"/>
        <w:widowControl w:val="0"/>
        <w:numPr>
          <w:ilvl w:val="0"/>
          <w:numId w:val="7"/>
        </w:numPr>
        <w:spacing w:after="120"/>
        <w:ind w:left="504"/>
        <w:contextualSpacing w:val="0"/>
        <w:rPr>
          <w:rFonts w:cstheme="minorHAnsi"/>
        </w:rPr>
      </w:pPr>
      <w:r w:rsidRPr="00270034">
        <w:rPr>
          <w:rFonts w:cstheme="minorHAnsi"/>
        </w:rPr>
        <w:t xml:space="preserve">using renewable energy generation tax credits may outweigh the savings from using tax-exempt bonds, even though </w:t>
      </w:r>
      <w:r w:rsidRPr="00414D3A">
        <w:rPr>
          <w:rFonts w:cstheme="minorHAnsi"/>
        </w:rPr>
        <w:t xml:space="preserve">they </w:t>
      </w:r>
      <w:hyperlink r:id="rId26" w:anchor="faq-How-much-is-a-tax-credit-value-lowered-when-tax-exempt-bonds-are-used?" w:history="1">
        <w:r w:rsidRPr="00414D3A">
          <w:rPr>
            <w:rStyle w:val="Hyperlink"/>
            <w:rFonts w:cstheme="minorHAnsi"/>
          </w:rPr>
          <w:t>lower the value of the credits</w:t>
        </w:r>
      </w:hyperlink>
      <w:r w:rsidRPr="00414D3A">
        <w:rPr>
          <w:rFonts w:cstheme="minorHAnsi"/>
        </w:rPr>
        <w:t xml:space="preserve"> (</w:t>
      </w:r>
      <w:r w:rsidRPr="00C31D32">
        <w:rPr>
          <w:rFonts w:cstheme="minorHAnsi"/>
        </w:rPr>
        <w:t>26 US Code § 45(b)(3)).</w:t>
      </w:r>
    </w:p>
    <w:p w14:paraId="001F8F7B" w14:textId="77777777" w:rsidR="00C43893" w:rsidRPr="00270034" w:rsidRDefault="00C43893" w:rsidP="00270034">
      <w:pPr>
        <w:pStyle w:val="ListParagraph"/>
        <w:widowControl w:val="0"/>
        <w:numPr>
          <w:ilvl w:val="0"/>
          <w:numId w:val="7"/>
        </w:numPr>
        <w:spacing w:after="120"/>
        <w:ind w:left="504"/>
        <w:contextualSpacing w:val="0"/>
        <w:rPr>
          <w:rFonts w:cstheme="minorHAnsi"/>
        </w:rPr>
      </w:pPr>
      <w:r w:rsidRPr="00270034">
        <w:rPr>
          <w:rFonts w:cstheme="minorHAnsi"/>
        </w:rPr>
        <w:t>tax credits can be included in a project’s list of funding sources alongside federal or state grants. Direct-pay tax credits may be eligible as a local match contribution to a grant. Tax credits under different sections of Federal code cannot be used together (no double tax benefit, a.k.a. “double-dipping”).</w:t>
      </w:r>
    </w:p>
    <w:p w14:paraId="55D01A07" w14:textId="404F0C4E" w:rsidR="00C43893" w:rsidRPr="00270034" w:rsidRDefault="00C43893" w:rsidP="00270034">
      <w:pPr>
        <w:pStyle w:val="ListParagraph"/>
        <w:widowControl w:val="0"/>
        <w:numPr>
          <w:ilvl w:val="0"/>
          <w:numId w:val="7"/>
        </w:numPr>
        <w:spacing w:after="120"/>
        <w:ind w:left="504"/>
        <w:contextualSpacing w:val="0"/>
        <w:rPr>
          <w:rFonts w:cstheme="minorHAnsi"/>
        </w:rPr>
      </w:pPr>
      <w:r w:rsidRPr="00270034">
        <w:rPr>
          <w:rFonts w:cstheme="minorHAnsi"/>
        </w:rPr>
        <w:t xml:space="preserve">some tax credits are time sensitive. For tax credits §§ 30C, 45, 45Y, 48, 48E, and 179D, the IRS defined </w:t>
      </w:r>
      <w:hyperlink r:id="rId27" w:history="1">
        <w:r w:rsidRPr="00270034">
          <w:rPr>
            <w:rStyle w:val="Hyperlink"/>
            <w:rFonts w:cstheme="minorHAnsi"/>
            <w:i/>
            <w:iCs/>
          </w:rPr>
          <w:t>Beginning Construction</w:t>
        </w:r>
      </w:hyperlink>
      <w:r w:rsidRPr="00270034">
        <w:rPr>
          <w:rFonts w:cstheme="minorHAnsi"/>
        </w:rPr>
        <w:t xml:space="preserve"> to mean either beginning physical work of a significant nature or paying or incurring 5% of more of the total costs of the facility. Project progress must </w:t>
      </w:r>
      <w:r w:rsidR="000A6207">
        <w:rPr>
          <w:rFonts w:cstheme="minorHAnsi"/>
        </w:rPr>
        <w:t>be made</w:t>
      </w:r>
      <w:r w:rsidRPr="00270034">
        <w:rPr>
          <w:rFonts w:cstheme="minorHAnsi"/>
        </w:rPr>
        <w:t xml:space="preserve"> through continuous construction or continuous effort (no stopping work after </w:t>
      </w:r>
      <w:r w:rsidRPr="00270034">
        <w:rPr>
          <w:rFonts w:cstheme="minorHAnsi"/>
          <w:i/>
          <w:iCs/>
        </w:rPr>
        <w:t>Beginning</w:t>
      </w:r>
      <w:r w:rsidRPr="00270034">
        <w:rPr>
          <w:rFonts w:cstheme="minorHAnsi"/>
        </w:rPr>
        <w:t>).</w:t>
      </w:r>
    </w:p>
    <w:p w14:paraId="2B836F2A" w14:textId="77777777" w:rsidR="00C43893" w:rsidRDefault="00C43893" w:rsidP="00270034">
      <w:pPr>
        <w:pStyle w:val="ListParagraph"/>
        <w:widowControl w:val="0"/>
        <w:numPr>
          <w:ilvl w:val="0"/>
          <w:numId w:val="7"/>
        </w:numPr>
        <w:spacing w:after="120"/>
        <w:ind w:left="504"/>
        <w:contextualSpacing w:val="0"/>
        <w:rPr>
          <w:rFonts w:cstheme="minorHAnsi"/>
        </w:rPr>
      </w:pPr>
      <w:r w:rsidRPr="00270034">
        <w:rPr>
          <w:rFonts w:cstheme="minorHAnsi"/>
        </w:rPr>
        <w:t>Power production, alternative fuel vehicle, and energy efficient building projects must be related to the municipality’s tax-exempt purpose. If a project involves income generated from private parties (ex. leased public building or EV charging power purchase agreement), consult a tax professional.  All or a portion of the project may be deemed ineligible for tax incentives.</w:t>
      </w:r>
    </w:p>
    <w:p w14:paraId="6F01A862" w14:textId="4BB22B18" w:rsidR="00F361AD" w:rsidRPr="00654C05" w:rsidRDefault="00654C05" w:rsidP="00654C05">
      <w:pPr>
        <w:widowControl w:val="0"/>
        <w:spacing w:after="120"/>
        <w:rPr>
          <w:rFonts w:cstheme="minorHAnsi"/>
        </w:rPr>
      </w:pPr>
      <w:r>
        <w:rPr>
          <w:rFonts w:cstheme="minorHAnsi"/>
          <w:b/>
          <w:bCs/>
        </w:rPr>
        <w:t>Disclaimer:</w:t>
      </w:r>
      <w:r>
        <w:rPr>
          <w:rFonts w:cstheme="minorHAnsi"/>
        </w:rPr>
        <w:t xml:space="preserve">  T</w:t>
      </w:r>
      <w:r w:rsidR="00C224D1" w:rsidRPr="00654C05">
        <w:rPr>
          <w:rFonts w:cstheme="minorHAnsi"/>
        </w:rPr>
        <w:t xml:space="preserve">his summary </w:t>
      </w:r>
      <w:r w:rsidR="00807361" w:rsidRPr="00654C05">
        <w:rPr>
          <w:rFonts w:cstheme="minorHAnsi"/>
        </w:rPr>
        <w:t>provides</w:t>
      </w:r>
      <w:r w:rsidR="00786993" w:rsidRPr="00654C05">
        <w:rPr>
          <w:rFonts w:cstheme="minorHAnsi"/>
        </w:rPr>
        <w:t xml:space="preserve"> preliminary information about tax credits and deductions available to municipalities through the Inflation Reduction Act of 2022.</w:t>
      </w:r>
      <w:r w:rsidR="00F30BFC" w:rsidRPr="00654C05">
        <w:rPr>
          <w:rFonts w:cstheme="minorHAnsi"/>
        </w:rPr>
        <w:t xml:space="preserve"> </w:t>
      </w:r>
      <w:r w:rsidR="001B0B75" w:rsidRPr="00654C05">
        <w:rPr>
          <w:rFonts w:cstheme="minorHAnsi"/>
        </w:rPr>
        <w:t xml:space="preserve">Links to other sites offered in this document </w:t>
      </w:r>
      <w:r w:rsidR="00FD3A05" w:rsidRPr="00654C05">
        <w:rPr>
          <w:rFonts w:cstheme="minorHAnsi"/>
        </w:rPr>
        <w:t xml:space="preserve">are provided to assist municipalities. The inclusion of a link does not imply endorsement or approval of the linked site. </w:t>
      </w:r>
      <w:r w:rsidR="00416248" w:rsidRPr="00654C05">
        <w:rPr>
          <w:rFonts w:cstheme="minorHAnsi"/>
        </w:rPr>
        <w:t>The content</w:t>
      </w:r>
      <w:r w:rsidR="009030EC" w:rsidRPr="00654C05">
        <w:rPr>
          <w:rFonts w:cstheme="minorHAnsi"/>
        </w:rPr>
        <w:t xml:space="preserve"> of this document does not constitute legal or other professional advice. </w:t>
      </w:r>
      <w:r w:rsidR="00F30BFC" w:rsidRPr="00654C05">
        <w:rPr>
          <w:rFonts w:cstheme="minorHAnsi"/>
        </w:rPr>
        <w:t>Municipalities are advised</w:t>
      </w:r>
      <w:r w:rsidR="00F60CE5" w:rsidRPr="00654C05">
        <w:rPr>
          <w:rFonts w:cstheme="minorHAnsi"/>
        </w:rPr>
        <w:t xml:space="preserve"> to consult tax</w:t>
      </w:r>
      <w:r w:rsidR="007C0215">
        <w:rPr>
          <w:rFonts w:cstheme="minorHAnsi"/>
        </w:rPr>
        <w:t xml:space="preserve">, legal and other </w:t>
      </w:r>
      <w:r w:rsidR="00F60CE5" w:rsidRPr="00654C05">
        <w:rPr>
          <w:rFonts w:cstheme="minorHAnsi"/>
        </w:rPr>
        <w:t>professional</w:t>
      </w:r>
      <w:r w:rsidR="007C0215">
        <w:rPr>
          <w:rFonts w:cstheme="minorHAnsi"/>
        </w:rPr>
        <w:t>s</w:t>
      </w:r>
      <w:r w:rsidR="00F60CE5" w:rsidRPr="00654C05">
        <w:rPr>
          <w:rFonts w:cstheme="minorHAnsi"/>
        </w:rPr>
        <w:t xml:space="preserve"> regarding use of these credits.</w:t>
      </w:r>
    </w:p>
    <w:tbl>
      <w:tblPr>
        <w:tblStyle w:val="TableGrid"/>
        <w:tblW w:w="10800" w:type="dxa"/>
        <w:jc w:val="center"/>
        <w:tblLayout w:type="fixed"/>
        <w:tblLook w:val="04A0" w:firstRow="1" w:lastRow="0" w:firstColumn="1" w:lastColumn="0" w:noHBand="0" w:noVBand="1"/>
        <w:tblDescription w:val="Summary table of Section 45 and Section 45Y production tax credits and Section 30C and Section 45W investment tax credits"/>
      </w:tblPr>
      <w:tblGrid>
        <w:gridCol w:w="1620"/>
        <w:gridCol w:w="990"/>
        <w:gridCol w:w="2070"/>
        <w:gridCol w:w="360"/>
        <w:gridCol w:w="2160"/>
        <w:gridCol w:w="360"/>
        <w:gridCol w:w="810"/>
        <w:gridCol w:w="360"/>
        <w:gridCol w:w="810"/>
        <w:gridCol w:w="360"/>
        <w:gridCol w:w="900"/>
      </w:tblGrid>
      <w:tr w:rsidR="00966286" w:rsidRPr="00966286" w14:paraId="49F92441" w14:textId="77777777" w:rsidTr="00E03E64">
        <w:trPr>
          <w:cantSplit/>
          <w:tblHeader/>
          <w:jc w:val="center"/>
        </w:trPr>
        <w:tc>
          <w:tcPr>
            <w:tcW w:w="1620" w:type="dxa"/>
            <w:tcBorders>
              <w:top w:val="nil"/>
              <w:left w:val="nil"/>
              <w:bottom w:val="single" w:sz="12" w:space="0" w:color="auto"/>
              <w:right w:val="nil"/>
            </w:tcBorders>
            <w:shd w:val="clear" w:color="auto" w:fill="auto"/>
            <w:vAlign w:val="center"/>
          </w:tcPr>
          <w:p w14:paraId="1BFE7DFE" w14:textId="77777777" w:rsidR="00966286" w:rsidRPr="00966286" w:rsidRDefault="00966286" w:rsidP="00966286">
            <w:pPr>
              <w:widowControl w:val="0"/>
              <w:rPr>
                <w:rFonts w:cstheme="minorHAnsi"/>
                <w:b/>
                <w:bCs/>
                <w:color w:val="FFFFFF" w:themeColor="background1"/>
              </w:rPr>
            </w:pPr>
          </w:p>
        </w:tc>
        <w:tc>
          <w:tcPr>
            <w:tcW w:w="990" w:type="dxa"/>
            <w:tcBorders>
              <w:top w:val="nil"/>
              <w:left w:val="nil"/>
              <w:bottom w:val="single" w:sz="12" w:space="0" w:color="auto"/>
              <w:right w:val="nil"/>
            </w:tcBorders>
            <w:shd w:val="clear" w:color="auto" w:fill="auto"/>
            <w:vAlign w:val="center"/>
          </w:tcPr>
          <w:p w14:paraId="0D342A21" w14:textId="77777777" w:rsidR="00966286" w:rsidRPr="00966286" w:rsidRDefault="00966286" w:rsidP="00966286">
            <w:pPr>
              <w:widowControl w:val="0"/>
              <w:rPr>
                <w:rFonts w:cstheme="minorHAnsi"/>
                <w:b/>
                <w:bCs/>
                <w:color w:val="FFFFFF" w:themeColor="background1"/>
              </w:rPr>
            </w:pPr>
          </w:p>
        </w:tc>
        <w:tc>
          <w:tcPr>
            <w:tcW w:w="2070" w:type="dxa"/>
            <w:tcBorders>
              <w:top w:val="nil"/>
              <w:left w:val="nil"/>
              <w:bottom w:val="single" w:sz="12" w:space="0" w:color="auto"/>
              <w:right w:val="single" w:sz="12" w:space="0" w:color="auto"/>
            </w:tcBorders>
            <w:shd w:val="clear" w:color="auto" w:fill="auto"/>
            <w:vAlign w:val="center"/>
          </w:tcPr>
          <w:p w14:paraId="2540F7F3" w14:textId="77777777" w:rsidR="00966286" w:rsidRPr="00966286" w:rsidRDefault="00966286" w:rsidP="00966286">
            <w:pPr>
              <w:widowControl w:val="0"/>
              <w:rPr>
                <w:rFonts w:cstheme="minorHAnsi"/>
                <w:b/>
                <w:bCs/>
                <w:color w:val="FFFFFF" w:themeColor="background1"/>
              </w:rPr>
            </w:pPr>
          </w:p>
        </w:tc>
        <w:tc>
          <w:tcPr>
            <w:tcW w:w="6120" w:type="dxa"/>
            <w:gridSpan w:val="8"/>
            <w:tcBorders>
              <w:top w:val="single" w:sz="12" w:space="0" w:color="auto"/>
              <w:left w:val="single" w:sz="12" w:space="0" w:color="auto"/>
              <w:bottom w:val="single" w:sz="2" w:space="0" w:color="auto"/>
              <w:right w:val="single" w:sz="12" w:space="0" w:color="auto"/>
            </w:tcBorders>
            <w:shd w:val="clear" w:color="auto" w:fill="29486D"/>
            <w:vAlign w:val="center"/>
          </w:tcPr>
          <w:p w14:paraId="4874F573" w14:textId="77777777" w:rsidR="00966286" w:rsidRPr="00966286" w:rsidRDefault="00966286" w:rsidP="00235CC7">
            <w:pPr>
              <w:widowControl w:val="0"/>
              <w:jc w:val="center"/>
              <w:rPr>
                <w:rFonts w:cstheme="minorHAnsi"/>
                <w:b/>
                <w:bCs/>
                <w:color w:val="FFFFFF" w:themeColor="background1"/>
              </w:rPr>
            </w:pPr>
            <w:r w:rsidRPr="00966286">
              <w:rPr>
                <w:rFonts w:cstheme="minorHAnsi"/>
                <w:b/>
                <w:bCs/>
                <w:color w:val="FFFFFF" w:themeColor="background1"/>
              </w:rPr>
              <w:t>Requirement (R) or Bonus Credit (B)</w:t>
            </w:r>
          </w:p>
        </w:tc>
      </w:tr>
      <w:tr w:rsidR="00966286" w:rsidRPr="00966286" w14:paraId="48D12E60" w14:textId="77777777" w:rsidTr="00E03E64">
        <w:trPr>
          <w:cantSplit/>
          <w:trHeight w:val="1584"/>
          <w:tblHeader/>
          <w:jc w:val="center"/>
        </w:trPr>
        <w:tc>
          <w:tcPr>
            <w:tcW w:w="1620" w:type="dxa"/>
            <w:tcBorders>
              <w:top w:val="single" w:sz="12" w:space="0" w:color="auto"/>
              <w:left w:val="single" w:sz="12" w:space="0" w:color="auto"/>
              <w:bottom w:val="single" w:sz="12" w:space="0" w:color="auto"/>
              <w:right w:val="single" w:sz="12" w:space="0" w:color="auto"/>
            </w:tcBorders>
            <w:shd w:val="clear" w:color="auto" w:fill="29486D"/>
            <w:vAlign w:val="center"/>
          </w:tcPr>
          <w:p w14:paraId="75F0A588" w14:textId="77777777" w:rsidR="00966286" w:rsidRPr="00966286" w:rsidRDefault="00966286" w:rsidP="00966286">
            <w:pPr>
              <w:widowControl w:val="0"/>
              <w:rPr>
                <w:rFonts w:cstheme="minorHAnsi"/>
                <w:b/>
                <w:bCs/>
                <w:color w:val="FFFFFF" w:themeColor="background1"/>
              </w:rPr>
            </w:pPr>
            <w:r w:rsidRPr="00966286">
              <w:rPr>
                <w:rFonts w:cstheme="minorHAnsi"/>
                <w:b/>
                <w:bCs/>
                <w:color w:val="FFFFFF" w:themeColor="background1"/>
              </w:rPr>
              <w:t>TAX CREDIT or DEDUCTION</w:t>
            </w:r>
          </w:p>
        </w:tc>
        <w:tc>
          <w:tcPr>
            <w:tcW w:w="990" w:type="dxa"/>
            <w:tcBorders>
              <w:top w:val="single" w:sz="12" w:space="0" w:color="auto"/>
              <w:left w:val="single" w:sz="12" w:space="0" w:color="auto"/>
              <w:bottom w:val="single" w:sz="12" w:space="0" w:color="auto"/>
              <w:right w:val="single" w:sz="12" w:space="0" w:color="auto"/>
            </w:tcBorders>
            <w:shd w:val="clear" w:color="auto" w:fill="29486D"/>
            <w:textDirection w:val="btLr"/>
            <w:vAlign w:val="center"/>
          </w:tcPr>
          <w:p w14:paraId="2C0B3D08" w14:textId="77777777" w:rsidR="00966286" w:rsidRPr="00966286" w:rsidRDefault="00966286" w:rsidP="00966286">
            <w:pPr>
              <w:widowControl w:val="0"/>
              <w:ind w:left="144"/>
              <w:rPr>
                <w:rFonts w:cstheme="minorHAnsi"/>
                <w:b/>
                <w:bCs/>
                <w:color w:val="FFFFFF" w:themeColor="background1"/>
              </w:rPr>
            </w:pPr>
            <w:r w:rsidRPr="00966286">
              <w:rPr>
                <w:rFonts w:cstheme="minorHAnsi"/>
                <w:b/>
                <w:bCs/>
                <w:color w:val="FFFFFF" w:themeColor="background1"/>
              </w:rPr>
              <w:t xml:space="preserve">Direct Pay or </w:t>
            </w:r>
          </w:p>
          <w:p w14:paraId="463121AA" w14:textId="77777777" w:rsidR="00966286" w:rsidRPr="00966286" w:rsidRDefault="00966286" w:rsidP="00966286">
            <w:pPr>
              <w:widowControl w:val="0"/>
              <w:ind w:left="144"/>
              <w:rPr>
                <w:rFonts w:cstheme="minorHAnsi"/>
                <w:b/>
                <w:bCs/>
                <w:color w:val="FFFFFF" w:themeColor="background1"/>
              </w:rPr>
            </w:pPr>
            <w:r w:rsidRPr="00966286">
              <w:rPr>
                <w:rFonts w:cstheme="minorHAnsi"/>
                <w:b/>
                <w:bCs/>
                <w:color w:val="FFFFFF" w:themeColor="background1"/>
              </w:rPr>
              <w:t>Credit Transfer</w:t>
            </w:r>
          </w:p>
        </w:tc>
        <w:tc>
          <w:tcPr>
            <w:tcW w:w="2070" w:type="dxa"/>
            <w:tcBorders>
              <w:top w:val="single" w:sz="12" w:space="0" w:color="auto"/>
              <w:left w:val="single" w:sz="12" w:space="0" w:color="auto"/>
              <w:bottom w:val="single" w:sz="12" w:space="0" w:color="auto"/>
            </w:tcBorders>
            <w:shd w:val="clear" w:color="auto" w:fill="29486D"/>
            <w:textDirection w:val="btLr"/>
            <w:vAlign w:val="center"/>
          </w:tcPr>
          <w:p w14:paraId="65E554B7" w14:textId="77777777" w:rsidR="00966286" w:rsidRPr="00966286" w:rsidRDefault="00966286" w:rsidP="00966286">
            <w:pPr>
              <w:widowControl w:val="0"/>
              <w:ind w:left="144"/>
              <w:rPr>
                <w:rFonts w:cstheme="minorHAnsi"/>
                <w:b/>
                <w:bCs/>
                <w:color w:val="FFFFFF" w:themeColor="background1"/>
              </w:rPr>
            </w:pPr>
            <w:r w:rsidRPr="00966286">
              <w:rPr>
                <w:rFonts w:cstheme="minorHAnsi"/>
                <w:b/>
                <w:bCs/>
                <w:color w:val="FFFFFF" w:themeColor="background1"/>
              </w:rPr>
              <w:t>Base Rate</w:t>
            </w:r>
          </w:p>
        </w:tc>
        <w:tc>
          <w:tcPr>
            <w:tcW w:w="252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29EFE825" w14:textId="77777777" w:rsidR="00966286" w:rsidRPr="00966286" w:rsidRDefault="00966286" w:rsidP="00966286">
            <w:pPr>
              <w:widowControl w:val="0"/>
              <w:ind w:left="144"/>
              <w:rPr>
                <w:rFonts w:cstheme="minorHAnsi"/>
                <w:color w:val="FFFFFF" w:themeColor="background1"/>
              </w:rPr>
            </w:pPr>
            <w:r w:rsidRPr="00966286">
              <w:rPr>
                <w:rFonts w:cstheme="minorHAnsi"/>
                <w:b/>
                <w:bCs/>
                <w:color w:val="FFFFFF" w:themeColor="background1"/>
              </w:rPr>
              <w:t>Labor Provisions</w:t>
            </w:r>
          </w:p>
        </w:tc>
        <w:tc>
          <w:tcPr>
            <w:tcW w:w="117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73A989FD" w14:textId="77777777" w:rsidR="00966286" w:rsidRPr="00966286" w:rsidRDefault="00966286" w:rsidP="00966286">
            <w:pPr>
              <w:widowControl w:val="0"/>
              <w:ind w:left="144"/>
              <w:rPr>
                <w:rFonts w:cstheme="minorHAnsi"/>
                <w:b/>
                <w:bCs/>
                <w:color w:val="FFFFFF" w:themeColor="background1"/>
              </w:rPr>
            </w:pPr>
            <w:r w:rsidRPr="00966286">
              <w:rPr>
                <w:rFonts w:cstheme="minorHAnsi"/>
                <w:b/>
                <w:bCs/>
                <w:color w:val="FFFFFF" w:themeColor="background1"/>
              </w:rPr>
              <w:t>Domestic Content</w:t>
            </w:r>
          </w:p>
        </w:tc>
        <w:tc>
          <w:tcPr>
            <w:tcW w:w="117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4A1F91BE" w14:textId="77777777" w:rsidR="00966286" w:rsidRPr="00966286" w:rsidRDefault="00966286" w:rsidP="00966286">
            <w:pPr>
              <w:widowControl w:val="0"/>
              <w:ind w:left="144"/>
              <w:rPr>
                <w:rFonts w:cstheme="minorHAnsi"/>
                <w:b/>
                <w:bCs/>
                <w:color w:val="FFFFFF" w:themeColor="background1"/>
              </w:rPr>
            </w:pPr>
            <w:r w:rsidRPr="00966286">
              <w:rPr>
                <w:rFonts w:cstheme="minorHAnsi"/>
                <w:b/>
                <w:bCs/>
                <w:color w:val="FFFFFF" w:themeColor="background1"/>
              </w:rPr>
              <w:t>Energy Community</w:t>
            </w:r>
          </w:p>
        </w:tc>
        <w:tc>
          <w:tcPr>
            <w:tcW w:w="126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3826EFFA" w14:textId="77777777" w:rsidR="00966286" w:rsidRPr="00966286" w:rsidRDefault="00966286" w:rsidP="00966286">
            <w:pPr>
              <w:widowControl w:val="0"/>
              <w:ind w:left="144"/>
              <w:rPr>
                <w:rFonts w:cstheme="minorHAnsi"/>
                <w:b/>
                <w:bCs/>
                <w:color w:val="FFFFFF" w:themeColor="background1"/>
              </w:rPr>
            </w:pPr>
            <w:r w:rsidRPr="00966286">
              <w:rPr>
                <w:rFonts w:cstheme="minorHAnsi"/>
                <w:b/>
                <w:bCs/>
                <w:color w:val="FFFFFF" w:themeColor="background1"/>
              </w:rPr>
              <w:t>Environmental Justice</w:t>
            </w:r>
          </w:p>
        </w:tc>
      </w:tr>
      <w:tr w:rsidR="00966286" w:rsidRPr="00966286" w14:paraId="6AC977EE" w14:textId="77777777" w:rsidTr="00E03E64">
        <w:trPr>
          <w:cantSplit/>
          <w:trHeight w:val="432"/>
          <w:jc w:val="center"/>
        </w:trPr>
        <w:tc>
          <w:tcPr>
            <w:tcW w:w="10800" w:type="dxa"/>
            <w:gridSpan w:val="11"/>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1BECE993" w14:textId="77777777" w:rsidR="00966286" w:rsidRPr="00966286" w:rsidRDefault="00966286" w:rsidP="00966286">
            <w:pPr>
              <w:widowControl w:val="0"/>
              <w:rPr>
                <w:rFonts w:cstheme="minorHAnsi"/>
              </w:rPr>
            </w:pPr>
            <w:r w:rsidRPr="00966286">
              <w:rPr>
                <w:rFonts w:cstheme="minorHAnsi"/>
                <w:b/>
                <w:bCs/>
              </w:rPr>
              <w:t>PRODUCTION TAX CREDIT</w:t>
            </w:r>
          </w:p>
        </w:tc>
      </w:tr>
      <w:tr w:rsidR="00966286" w:rsidRPr="00966286" w14:paraId="054541CC" w14:textId="77777777" w:rsidTr="00E03E64">
        <w:trPr>
          <w:cantSplit/>
          <w:jc w:val="center"/>
        </w:trPr>
        <w:tc>
          <w:tcPr>
            <w:tcW w:w="1620" w:type="dxa"/>
            <w:vMerge w:val="restart"/>
            <w:tcBorders>
              <w:top w:val="single" w:sz="12" w:space="0" w:color="auto"/>
              <w:left w:val="single" w:sz="12" w:space="0" w:color="auto"/>
              <w:right w:val="single" w:sz="12" w:space="0" w:color="auto"/>
            </w:tcBorders>
            <w:shd w:val="clear" w:color="auto" w:fill="D9E2F3"/>
            <w:vAlign w:val="center"/>
          </w:tcPr>
          <w:p w14:paraId="4E0AC2E5" w14:textId="77777777" w:rsidR="00966286" w:rsidRPr="00966286" w:rsidRDefault="00966286" w:rsidP="00966286">
            <w:pPr>
              <w:widowControl w:val="0"/>
              <w:rPr>
                <w:rFonts w:cstheme="minorHAnsi"/>
                <w:b/>
                <w:bCs/>
              </w:rPr>
            </w:pPr>
            <w:r w:rsidRPr="00966286">
              <w:rPr>
                <w:rFonts w:cstheme="minorHAnsi"/>
                <w:b/>
                <w:bCs/>
              </w:rPr>
              <w:t xml:space="preserve">Renewable Energy Generation Tax Credit </w:t>
            </w:r>
            <w:r w:rsidRPr="00966286">
              <w:rPr>
                <w:rFonts w:cstheme="minorHAnsi"/>
              </w:rPr>
              <w:t>(§ 45)</w:t>
            </w:r>
          </w:p>
        </w:tc>
        <w:tc>
          <w:tcPr>
            <w:tcW w:w="990" w:type="dxa"/>
            <w:tcBorders>
              <w:top w:val="single" w:sz="12" w:space="0" w:color="auto"/>
              <w:left w:val="single" w:sz="12" w:space="0" w:color="auto"/>
              <w:bottom w:val="single" w:sz="4" w:space="0" w:color="auto"/>
              <w:right w:val="single" w:sz="12" w:space="0" w:color="auto"/>
            </w:tcBorders>
            <w:shd w:val="clear" w:color="auto" w:fill="D9E2F3"/>
            <w:vAlign w:val="center"/>
          </w:tcPr>
          <w:p w14:paraId="0DE3B884" w14:textId="77777777" w:rsidR="00966286" w:rsidRPr="00966286" w:rsidRDefault="00966286" w:rsidP="00477077">
            <w:pPr>
              <w:widowControl w:val="0"/>
              <w:jc w:val="center"/>
              <w:rPr>
                <w:rFonts w:cstheme="minorHAnsi"/>
              </w:rPr>
            </w:pPr>
            <w:r w:rsidRPr="00966286">
              <w:rPr>
                <w:rFonts w:cstheme="minorHAnsi"/>
              </w:rPr>
              <w:t>Direct</w:t>
            </w:r>
          </w:p>
        </w:tc>
        <w:tc>
          <w:tcPr>
            <w:tcW w:w="2070" w:type="dxa"/>
            <w:tcBorders>
              <w:top w:val="single" w:sz="12" w:space="0" w:color="auto"/>
              <w:left w:val="single" w:sz="12" w:space="0" w:color="auto"/>
              <w:bottom w:val="single" w:sz="4" w:space="0" w:color="auto"/>
            </w:tcBorders>
            <w:shd w:val="clear" w:color="auto" w:fill="D9E2F3"/>
            <w:vAlign w:val="center"/>
          </w:tcPr>
          <w:p w14:paraId="742A53F3" w14:textId="5C44D216" w:rsidR="00966286" w:rsidRPr="00966286" w:rsidRDefault="00966286" w:rsidP="00477077">
            <w:pPr>
              <w:widowControl w:val="0"/>
              <w:jc w:val="center"/>
              <w:rPr>
                <w:rFonts w:cstheme="minorHAnsi"/>
              </w:rPr>
            </w:pPr>
            <w:r w:rsidRPr="00966286">
              <w:rPr>
                <w:rFonts w:cstheme="minorHAnsi"/>
              </w:rPr>
              <w:t>0.</w:t>
            </w:r>
            <w:r w:rsidR="00FF1C1E">
              <w:rPr>
                <w:rFonts w:cstheme="minorHAnsi"/>
              </w:rPr>
              <w:t>5</w:t>
            </w:r>
            <w:r w:rsidRPr="00966286">
              <w:rPr>
                <w:rFonts w:cstheme="minorHAnsi"/>
              </w:rPr>
              <w:t>¢/kWh*</w:t>
            </w:r>
          </w:p>
          <w:p w14:paraId="16E393BB" w14:textId="77777777" w:rsidR="00966286" w:rsidRPr="00966286" w:rsidRDefault="00966286" w:rsidP="00477077">
            <w:pPr>
              <w:widowControl w:val="0"/>
              <w:jc w:val="center"/>
              <w:rPr>
                <w:rFonts w:cstheme="minorHAnsi"/>
              </w:rPr>
            </w:pPr>
            <w:r w:rsidRPr="00966286">
              <w:rPr>
                <w:rFonts w:cstheme="minorHAnsi"/>
              </w:rPr>
              <w:t>Some facility types more</w:t>
            </w:r>
          </w:p>
        </w:tc>
        <w:tc>
          <w:tcPr>
            <w:tcW w:w="360" w:type="dxa"/>
            <w:tcBorders>
              <w:top w:val="single" w:sz="12" w:space="0" w:color="auto"/>
              <w:left w:val="single" w:sz="12" w:space="0" w:color="auto"/>
              <w:bottom w:val="single" w:sz="4" w:space="0" w:color="auto"/>
            </w:tcBorders>
            <w:shd w:val="clear" w:color="auto" w:fill="D9E2F3"/>
            <w:vAlign w:val="center"/>
          </w:tcPr>
          <w:p w14:paraId="33A7298D" w14:textId="77777777" w:rsidR="00966286" w:rsidRPr="00966286" w:rsidRDefault="00966286" w:rsidP="00477077">
            <w:pPr>
              <w:widowControl w:val="0"/>
              <w:jc w:val="center"/>
              <w:rPr>
                <w:rFonts w:cstheme="minorHAnsi"/>
              </w:rPr>
            </w:pPr>
            <w:r w:rsidRPr="00966286">
              <w:rPr>
                <w:rFonts w:cstheme="minorHAnsi"/>
              </w:rPr>
              <w:t>B</w:t>
            </w:r>
          </w:p>
        </w:tc>
        <w:tc>
          <w:tcPr>
            <w:tcW w:w="2160" w:type="dxa"/>
            <w:tcBorders>
              <w:top w:val="single" w:sz="12" w:space="0" w:color="auto"/>
              <w:bottom w:val="single" w:sz="4" w:space="0" w:color="auto"/>
              <w:right w:val="single" w:sz="12" w:space="0" w:color="auto"/>
            </w:tcBorders>
            <w:shd w:val="clear" w:color="auto" w:fill="D9E2F3"/>
            <w:vAlign w:val="center"/>
          </w:tcPr>
          <w:p w14:paraId="2EF1DE0A" w14:textId="77777777" w:rsidR="00966286" w:rsidRPr="00966286" w:rsidRDefault="00966286" w:rsidP="00477077">
            <w:pPr>
              <w:widowControl w:val="0"/>
              <w:jc w:val="center"/>
              <w:rPr>
                <w:rFonts w:cstheme="minorHAnsi"/>
              </w:rPr>
            </w:pPr>
            <w:r w:rsidRPr="00966286">
              <w:rPr>
                <w:rFonts w:cstheme="minorHAnsi"/>
              </w:rPr>
              <w:t>2.6¢/kWh*</w:t>
            </w:r>
          </w:p>
        </w:tc>
        <w:tc>
          <w:tcPr>
            <w:tcW w:w="360" w:type="dxa"/>
            <w:tcBorders>
              <w:top w:val="single" w:sz="12" w:space="0" w:color="auto"/>
              <w:left w:val="single" w:sz="12" w:space="0" w:color="auto"/>
              <w:bottom w:val="single" w:sz="4" w:space="0" w:color="auto"/>
            </w:tcBorders>
            <w:shd w:val="clear" w:color="auto" w:fill="D9E2F3"/>
            <w:vAlign w:val="center"/>
          </w:tcPr>
          <w:p w14:paraId="0FDFFAFB"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D9E2F3"/>
            <w:vAlign w:val="center"/>
          </w:tcPr>
          <w:p w14:paraId="1EAC1E64" w14:textId="77777777" w:rsidR="00966286" w:rsidRPr="00966286" w:rsidRDefault="00966286" w:rsidP="00477077">
            <w:pPr>
              <w:widowControl w:val="0"/>
              <w:jc w:val="center"/>
              <w:rPr>
                <w:rFonts w:cstheme="minorHAnsi"/>
              </w:rPr>
            </w:pPr>
            <w:r w:rsidRPr="00966286">
              <w:rPr>
                <w:rFonts w:cstheme="minorHAnsi"/>
              </w:rPr>
              <w:t>10%</w:t>
            </w:r>
          </w:p>
        </w:tc>
        <w:tc>
          <w:tcPr>
            <w:tcW w:w="360" w:type="dxa"/>
            <w:tcBorders>
              <w:top w:val="single" w:sz="12" w:space="0" w:color="auto"/>
              <w:left w:val="single" w:sz="12" w:space="0" w:color="auto"/>
              <w:bottom w:val="single" w:sz="4" w:space="0" w:color="auto"/>
            </w:tcBorders>
            <w:shd w:val="clear" w:color="auto" w:fill="D9E2F3"/>
            <w:vAlign w:val="center"/>
          </w:tcPr>
          <w:p w14:paraId="4C16A670"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D9E2F3"/>
            <w:vAlign w:val="center"/>
          </w:tcPr>
          <w:p w14:paraId="1BFBF4CD" w14:textId="77777777" w:rsidR="00966286" w:rsidRPr="00966286" w:rsidRDefault="00966286" w:rsidP="00477077">
            <w:pPr>
              <w:widowControl w:val="0"/>
              <w:jc w:val="center"/>
              <w:rPr>
                <w:rFonts w:cstheme="minorHAnsi"/>
              </w:rPr>
            </w:pPr>
            <w:r w:rsidRPr="00966286">
              <w:rPr>
                <w:rFonts w:cstheme="minorHAnsi"/>
              </w:rPr>
              <w:t>10%</w:t>
            </w:r>
          </w:p>
        </w:tc>
        <w:tc>
          <w:tcPr>
            <w:tcW w:w="360" w:type="dxa"/>
            <w:tcBorders>
              <w:top w:val="single" w:sz="12" w:space="0" w:color="auto"/>
              <w:left w:val="single" w:sz="12" w:space="0" w:color="auto"/>
              <w:bottom w:val="single" w:sz="4" w:space="0" w:color="auto"/>
            </w:tcBorders>
            <w:shd w:val="clear" w:color="auto" w:fill="D9E2F3"/>
            <w:vAlign w:val="center"/>
          </w:tcPr>
          <w:p w14:paraId="2BEB1558" w14:textId="77777777" w:rsidR="00966286" w:rsidRPr="00966286" w:rsidRDefault="00966286" w:rsidP="00477077">
            <w:pPr>
              <w:widowControl w:val="0"/>
              <w:jc w:val="center"/>
              <w:rPr>
                <w:rFonts w:cstheme="minorHAnsi"/>
              </w:rPr>
            </w:pPr>
            <w:r w:rsidRPr="00966286">
              <w:rPr>
                <w:rFonts w:cstheme="minorHAnsi"/>
              </w:rPr>
              <w:t>-</w:t>
            </w:r>
          </w:p>
        </w:tc>
        <w:tc>
          <w:tcPr>
            <w:tcW w:w="900" w:type="dxa"/>
            <w:tcBorders>
              <w:top w:val="single" w:sz="12" w:space="0" w:color="auto"/>
              <w:bottom w:val="single" w:sz="4" w:space="0" w:color="auto"/>
              <w:right w:val="single" w:sz="12" w:space="0" w:color="auto"/>
            </w:tcBorders>
            <w:shd w:val="clear" w:color="auto" w:fill="D9E2F3"/>
            <w:vAlign w:val="center"/>
          </w:tcPr>
          <w:p w14:paraId="749EA5A3" w14:textId="77777777" w:rsidR="00966286" w:rsidRPr="00966286" w:rsidRDefault="00966286" w:rsidP="00477077">
            <w:pPr>
              <w:widowControl w:val="0"/>
              <w:jc w:val="center"/>
              <w:rPr>
                <w:rFonts w:cstheme="minorHAnsi"/>
              </w:rPr>
            </w:pPr>
            <w:r w:rsidRPr="00966286">
              <w:rPr>
                <w:rFonts w:cstheme="minorHAnsi"/>
              </w:rPr>
              <w:t>-</w:t>
            </w:r>
          </w:p>
        </w:tc>
      </w:tr>
      <w:tr w:rsidR="00966286" w:rsidRPr="00966286" w14:paraId="5F8187FD" w14:textId="77777777" w:rsidTr="00E03E64">
        <w:trPr>
          <w:cantSplit/>
          <w:jc w:val="center"/>
        </w:trPr>
        <w:tc>
          <w:tcPr>
            <w:tcW w:w="1620" w:type="dxa"/>
            <w:vMerge/>
            <w:tcBorders>
              <w:left w:val="single" w:sz="12" w:space="0" w:color="auto"/>
              <w:bottom w:val="single" w:sz="12" w:space="0" w:color="auto"/>
              <w:right w:val="single" w:sz="12" w:space="0" w:color="auto"/>
            </w:tcBorders>
            <w:shd w:val="clear" w:color="auto" w:fill="D9E2F3" w:themeFill="accent1" w:themeFillTint="33"/>
            <w:vAlign w:val="center"/>
          </w:tcPr>
          <w:p w14:paraId="4CF9F205" w14:textId="77777777" w:rsidR="00966286" w:rsidRPr="00966286" w:rsidRDefault="00966286" w:rsidP="00966286">
            <w:pPr>
              <w:widowControl w:val="0"/>
              <w:rPr>
                <w:rFonts w:cstheme="minorHAnsi"/>
                <w:b/>
                <w:bCs/>
              </w:rPr>
            </w:pPr>
          </w:p>
        </w:tc>
        <w:tc>
          <w:tcPr>
            <w:tcW w:w="9180" w:type="dxa"/>
            <w:gridSpan w:val="10"/>
            <w:tcBorders>
              <w:top w:val="single" w:sz="4" w:space="0" w:color="auto"/>
              <w:left w:val="single" w:sz="12" w:space="0" w:color="auto"/>
              <w:bottom w:val="single" w:sz="12" w:space="0" w:color="auto"/>
              <w:right w:val="single" w:sz="12" w:space="0" w:color="auto"/>
            </w:tcBorders>
            <w:shd w:val="clear" w:color="auto" w:fill="D9E2F3" w:themeFill="accent1" w:themeFillTint="33"/>
            <w:vAlign w:val="center"/>
          </w:tcPr>
          <w:p w14:paraId="2BC68B86" w14:textId="77777777" w:rsidR="00966286" w:rsidRPr="00966286" w:rsidRDefault="00966286" w:rsidP="00672EA1">
            <w:pPr>
              <w:widowControl w:val="0"/>
              <w:numPr>
                <w:ilvl w:val="0"/>
                <w:numId w:val="18"/>
              </w:numPr>
              <w:ind w:left="288" w:hanging="288"/>
              <w:rPr>
                <w:rFonts w:cstheme="minorHAnsi"/>
              </w:rPr>
            </w:pPr>
            <w:r w:rsidRPr="00966286">
              <w:rPr>
                <w:rFonts w:cstheme="minorHAnsi"/>
              </w:rPr>
              <w:t xml:space="preserve">Placed in service after 12/31/22 or construction begins before </w:t>
            </w:r>
            <w:proofErr w:type="gramStart"/>
            <w:r w:rsidRPr="00966286">
              <w:rPr>
                <w:rFonts w:cstheme="minorHAnsi"/>
              </w:rPr>
              <w:t>01/01/25</w:t>
            </w:r>
            <w:proofErr w:type="gramEnd"/>
          </w:p>
          <w:p w14:paraId="7AE3681F" w14:textId="77777777" w:rsidR="00966286" w:rsidRPr="00966286" w:rsidRDefault="00966286" w:rsidP="00672EA1">
            <w:pPr>
              <w:widowControl w:val="0"/>
              <w:numPr>
                <w:ilvl w:val="0"/>
                <w:numId w:val="18"/>
              </w:numPr>
              <w:ind w:left="288" w:hanging="288"/>
              <w:rPr>
                <w:rFonts w:cstheme="minorHAnsi"/>
              </w:rPr>
            </w:pPr>
            <w:r w:rsidRPr="00966286">
              <w:rPr>
                <w:rFonts w:cstheme="minorHAnsi"/>
              </w:rPr>
              <w:t xml:space="preserve">Labor standards not required for projects &lt;1 </w:t>
            </w:r>
            <w:proofErr w:type="gramStart"/>
            <w:r w:rsidRPr="00966286">
              <w:rPr>
                <w:rFonts w:cstheme="minorHAnsi"/>
              </w:rPr>
              <w:t>MW</w:t>
            </w:r>
            <w:proofErr w:type="gramEnd"/>
          </w:p>
          <w:p w14:paraId="011E624E" w14:textId="77777777" w:rsidR="00966286" w:rsidRPr="00966286" w:rsidRDefault="00966286" w:rsidP="00672EA1">
            <w:pPr>
              <w:widowControl w:val="0"/>
              <w:numPr>
                <w:ilvl w:val="0"/>
                <w:numId w:val="18"/>
              </w:numPr>
              <w:ind w:left="288" w:hanging="288"/>
              <w:rPr>
                <w:rFonts w:cstheme="minorHAnsi"/>
              </w:rPr>
            </w:pPr>
            <w:r w:rsidRPr="00966286">
              <w:rPr>
                <w:rFonts w:cstheme="minorHAnsi"/>
              </w:rPr>
              <w:t>Increases hydropower &amp; municipal solid waste to full value (was half value)</w:t>
            </w:r>
          </w:p>
          <w:p w14:paraId="05ADF353" w14:textId="77777777" w:rsidR="00966286" w:rsidRPr="00966286" w:rsidRDefault="00966286" w:rsidP="00672EA1">
            <w:pPr>
              <w:widowControl w:val="0"/>
              <w:numPr>
                <w:ilvl w:val="0"/>
                <w:numId w:val="18"/>
              </w:numPr>
              <w:ind w:left="288" w:hanging="288"/>
              <w:rPr>
                <w:rFonts w:cstheme="minorHAnsi"/>
              </w:rPr>
            </w:pPr>
            <w:r w:rsidRPr="00966286">
              <w:rPr>
                <w:rFonts w:cstheme="minorHAnsi"/>
              </w:rPr>
              <w:t xml:space="preserve">Power must be produced and </w:t>
            </w:r>
            <w:proofErr w:type="gramStart"/>
            <w:r w:rsidRPr="00966286">
              <w:rPr>
                <w:rFonts w:cstheme="minorHAnsi"/>
              </w:rPr>
              <w:t>sold</w:t>
            </w:r>
            <w:proofErr w:type="gramEnd"/>
            <w:r w:rsidRPr="00966286">
              <w:rPr>
                <w:rFonts w:cstheme="minorHAnsi"/>
              </w:rPr>
              <w:t xml:space="preserve"> </w:t>
            </w:r>
          </w:p>
          <w:p w14:paraId="7D5C7856" w14:textId="5300CC29" w:rsidR="00966286" w:rsidRPr="00966286" w:rsidRDefault="00966286" w:rsidP="00672EA1">
            <w:pPr>
              <w:widowControl w:val="0"/>
              <w:numPr>
                <w:ilvl w:val="0"/>
                <w:numId w:val="18"/>
              </w:numPr>
              <w:ind w:left="288" w:hanging="288"/>
              <w:rPr>
                <w:rFonts w:cstheme="minorHAnsi"/>
              </w:rPr>
            </w:pPr>
            <w:r w:rsidRPr="00966286">
              <w:rPr>
                <w:rFonts w:cstheme="minorHAnsi"/>
              </w:rPr>
              <w:t>Using tax-exempt bonds reduces credit value (</w:t>
            </w:r>
            <w:r w:rsidR="007849E6">
              <w:rPr>
                <w:rFonts w:cstheme="minorHAnsi"/>
              </w:rPr>
              <w:t>IRC</w:t>
            </w:r>
            <w:r w:rsidRPr="00966286">
              <w:rPr>
                <w:rFonts w:cstheme="minorHAnsi"/>
              </w:rPr>
              <w:t xml:space="preserve"> § 45(b)(3))</w:t>
            </w:r>
          </w:p>
        </w:tc>
      </w:tr>
      <w:tr w:rsidR="00966286" w:rsidRPr="00966286" w14:paraId="3488F23D" w14:textId="77777777" w:rsidTr="00E03E64">
        <w:trPr>
          <w:cantSplit/>
          <w:jc w:val="center"/>
        </w:trPr>
        <w:tc>
          <w:tcPr>
            <w:tcW w:w="1620" w:type="dxa"/>
            <w:vMerge w:val="restart"/>
            <w:tcBorders>
              <w:left w:val="single" w:sz="12" w:space="0" w:color="auto"/>
              <w:right w:val="single" w:sz="12" w:space="0" w:color="auto"/>
            </w:tcBorders>
            <w:shd w:val="clear" w:color="auto" w:fill="9BB7D9"/>
            <w:vAlign w:val="center"/>
          </w:tcPr>
          <w:p w14:paraId="074AE289" w14:textId="77777777" w:rsidR="00966286" w:rsidRPr="00966286" w:rsidRDefault="00966286" w:rsidP="00966286">
            <w:pPr>
              <w:widowControl w:val="0"/>
              <w:rPr>
                <w:rFonts w:cstheme="minorHAnsi"/>
                <w:b/>
                <w:bCs/>
              </w:rPr>
            </w:pPr>
            <w:r w:rsidRPr="00966286">
              <w:rPr>
                <w:rFonts w:cstheme="minorHAnsi"/>
                <w:b/>
                <w:bCs/>
              </w:rPr>
              <w:t xml:space="preserve">Clean Electricity Production Tax Credit </w:t>
            </w:r>
            <w:r w:rsidRPr="00966286">
              <w:rPr>
                <w:rFonts w:cstheme="minorHAnsi"/>
              </w:rPr>
              <w:t>(§ 45Y)</w:t>
            </w:r>
          </w:p>
        </w:tc>
        <w:tc>
          <w:tcPr>
            <w:tcW w:w="990" w:type="dxa"/>
            <w:tcBorders>
              <w:top w:val="single" w:sz="12" w:space="0" w:color="auto"/>
              <w:left w:val="single" w:sz="12" w:space="0" w:color="auto"/>
              <w:bottom w:val="single" w:sz="4" w:space="0" w:color="auto"/>
              <w:right w:val="single" w:sz="12" w:space="0" w:color="auto"/>
            </w:tcBorders>
            <w:shd w:val="clear" w:color="auto" w:fill="9BB7D9"/>
            <w:vAlign w:val="center"/>
          </w:tcPr>
          <w:p w14:paraId="5EE14B47" w14:textId="77777777" w:rsidR="00966286" w:rsidRPr="00966286" w:rsidRDefault="00966286" w:rsidP="00477077">
            <w:pPr>
              <w:widowControl w:val="0"/>
              <w:jc w:val="center"/>
              <w:rPr>
                <w:rFonts w:cstheme="minorHAnsi"/>
              </w:rPr>
            </w:pPr>
            <w:r w:rsidRPr="00966286">
              <w:rPr>
                <w:rFonts w:cstheme="minorHAnsi"/>
              </w:rPr>
              <w:t>Direct</w:t>
            </w:r>
          </w:p>
        </w:tc>
        <w:tc>
          <w:tcPr>
            <w:tcW w:w="2070" w:type="dxa"/>
            <w:tcBorders>
              <w:top w:val="single" w:sz="12" w:space="0" w:color="auto"/>
              <w:left w:val="single" w:sz="12" w:space="0" w:color="auto"/>
              <w:bottom w:val="single" w:sz="4" w:space="0" w:color="auto"/>
            </w:tcBorders>
            <w:shd w:val="clear" w:color="auto" w:fill="9BB7D9"/>
            <w:vAlign w:val="center"/>
          </w:tcPr>
          <w:p w14:paraId="0411D4C3" w14:textId="48B720B8" w:rsidR="00966286" w:rsidRPr="00966286" w:rsidRDefault="00966286" w:rsidP="00477077">
            <w:pPr>
              <w:widowControl w:val="0"/>
              <w:jc w:val="center"/>
              <w:rPr>
                <w:rFonts w:cstheme="minorHAnsi"/>
              </w:rPr>
            </w:pPr>
            <w:r w:rsidRPr="00966286">
              <w:rPr>
                <w:rFonts w:cstheme="minorHAnsi"/>
              </w:rPr>
              <w:t>0.</w:t>
            </w:r>
            <w:r w:rsidR="00FF1C1E">
              <w:rPr>
                <w:rFonts w:cstheme="minorHAnsi"/>
              </w:rPr>
              <w:t>5</w:t>
            </w:r>
            <w:r w:rsidRPr="00966286">
              <w:rPr>
                <w:rFonts w:cstheme="minorHAnsi"/>
              </w:rPr>
              <w:t>¢/kWh*</w:t>
            </w:r>
          </w:p>
        </w:tc>
        <w:tc>
          <w:tcPr>
            <w:tcW w:w="360" w:type="dxa"/>
            <w:tcBorders>
              <w:top w:val="single" w:sz="12" w:space="0" w:color="auto"/>
              <w:left w:val="single" w:sz="12" w:space="0" w:color="auto"/>
              <w:bottom w:val="single" w:sz="4" w:space="0" w:color="auto"/>
            </w:tcBorders>
            <w:shd w:val="clear" w:color="auto" w:fill="9BB7D9"/>
            <w:vAlign w:val="center"/>
          </w:tcPr>
          <w:p w14:paraId="3B1BFAE2" w14:textId="77777777" w:rsidR="00966286" w:rsidRPr="00966286" w:rsidRDefault="00966286" w:rsidP="00477077">
            <w:pPr>
              <w:widowControl w:val="0"/>
              <w:jc w:val="center"/>
              <w:rPr>
                <w:rFonts w:cstheme="minorHAnsi"/>
              </w:rPr>
            </w:pPr>
            <w:r w:rsidRPr="00966286">
              <w:rPr>
                <w:rFonts w:cstheme="minorHAnsi"/>
              </w:rPr>
              <w:t>B</w:t>
            </w:r>
          </w:p>
        </w:tc>
        <w:tc>
          <w:tcPr>
            <w:tcW w:w="2160" w:type="dxa"/>
            <w:tcBorders>
              <w:top w:val="single" w:sz="12" w:space="0" w:color="auto"/>
              <w:bottom w:val="single" w:sz="4" w:space="0" w:color="auto"/>
              <w:right w:val="single" w:sz="12" w:space="0" w:color="auto"/>
            </w:tcBorders>
            <w:shd w:val="clear" w:color="auto" w:fill="9BB7D9"/>
            <w:vAlign w:val="center"/>
          </w:tcPr>
          <w:p w14:paraId="3B7472DD" w14:textId="77777777" w:rsidR="00966286" w:rsidRPr="00966286" w:rsidRDefault="00966286" w:rsidP="00477077">
            <w:pPr>
              <w:widowControl w:val="0"/>
              <w:jc w:val="center"/>
              <w:rPr>
                <w:rFonts w:cstheme="minorHAnsi"/>
              </w:rPr>
            </w:pPr>
            <w:r w:rsidRPr="00966286">
              <w:rPr>
                <w:rFonts w:cstheme="minorHAnsi"/>
              </w:rPr>
              <w:t>2.6¢/kWh*</w:t>
            </w:r>
          </w:p>
        </w:tc>
        <w:tc>
          <w:tcPr>
            <w:tcW w:w="360" w:type="dxa"/>
            <w:tcBorders>
              <w:top w:val="single" w:sz="12" w:space="0" w:color="auto"/>
              <w:left w:val="single" w:sz="12" w:space="0" w:color="auto"/>
              <w:bottom w:val="single" w:sz="4" w:space="0" w:color="auto"/>
            </w:tcBorders>
            <w:shd w:val="clear" w:color="auto" w:fill="9BB7D9"/>
            <w:vAlign w:val="center"/>
          </w:tcPr>
          <w:p w14:paraId="7D675C0D"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9BB7D9"/>
            <w:vAlign w:val="center"/>
          </w:tcPr>
          <w:p w14:paraId="014361C7" w14:textId="77777777" w:rsidR="00966286" w:rsidRPr="00966286" w:rsidRDefault="00966286" w:rsidP="00477077">
            <w:pPr>
              <w:widowControl w:val="0"/>
              <w:jc w:val="center"/>
              <w:rPr>
                <w:rFonts w:cstheme="minorHAnsi"/>
              </w:rPr>
            </w:pPr>
            <w:r w:rsidRPr="00966286">
              <w:rPr>
                <w:rFonts w:cstheme="minorHAnsi"/>
              </w:rPr>
              <w:t>10%</w:t>
            </w:r>
          </w:p>
        </w:tc>
        <w:tc>
          <w:tcPr>
            <w:tcW w:w="360" w:type="dxa"/>
            <w:tcBorders>
              <w:top w:val="single" w:sz="12" w:space="0" w:color="auto"/>
              <w:left w:val="single" w:sz="12" w:space="0" w:color="auto"/>
              <w:bottom w:val="single" w:sz="4" w:space="0" w:color="auto"/>
            </w:tcBorders>
            <w:shd w:val="clear" w:color="auto" w:fill="9BB7D9"/>
            <w:vAlign w:val="center"/>
          </w:tcPr>
          <w:p w14:paraId="110AB6EF"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9BB7D9"/>
            <w:vAlign w:val="center"/>
          </w:tcPr>
          <w:p w14:paraId="6318A5AC" w14:textId="77777777" w:rsidR="00966286" w:rsidRPr="00966286" w:rsidRDefault="00966286" w:rsidP="00477077">
            <w:pPr>
              <w:widowControl w:val="0"/>
              <w:jc w:val="center"/>
              <w:rPr>
                <w:rFonts w:cstheme="minorHAnsi"/>
              </w:rPr>
            </w:pPr>
            <w:r w:rsidRPr="00966286">
              <w:rPr>
                <w:rFonts w:cstheme="minorHAnsi"/>
              </w:rPr>
              <w:t>10%</w:t>
            </w:r>
          </w:p>
        </w:tc>
        <w:tc>
          <w:tcPr>
            <w:tcW w:w="360" w:type="dxa"/>
            <w:tcBorders>
              <w:top w:val="single" w:sz="12" w:space="0" w:color="auto"/>
              <w:left w:val="single" w:sz="12" w:space="0" w:color="auto"/>
              <w:bottom w:val="single" w:sz="4" w:space="0" w:color="auto"/>
            </w:tcBorders>
            <w:shd w:val="clear" w:color="auto" w:fill="9BB7D9"/>
            <w:vAlign w:val="center"/>
          </w:tcPr>
          <w:p w14:paraId="43989B54" w14:textId="77777777" w:rsidR="00966286" w:rsidRPr="00966286" w:rsidRDefault="00966286" w:rsidP="00477077">
            <w:pPr>
              <w:widowControl w:val="0"/>
              <w:jc w:val="center"/>
              <w:rPr>
                <w:rFonts w:cstheme="minorHAnsi"/>
              </w:rPr>
            </w:pPr>
            <w:r w:rsidRPr="00966286">
              <w:rPr>
                <w:rFonts w:cstheme="minorHAnsi"/>
              </w:rPr>
              <w:t>B</w:t>
            </w:r>
          </w:p>
        </w:tc>
        <w:tc>
          <w:tcPr>
            <w:tcW w:w="900" w:type="dxa"/>
            <w:tcBorders>
              <w:top w:val="single" w:sz="12" w:space="0" w:color="auto"/>
              <w:bottom w:val="single" w:sz="4" w:space="0" w:color="auto"/>
              <w:right w:val="single" w:sz="12" w:space="0" w:color="auto"/>
            </w:tcBorders>
            <w:shd w:val="clear" w:color="auto" w:fill="9BB7D9"/>
            <w:vAlign w:val="center"/>
          </w:tcPr>
          <w:p w14:paraId="508BAD99" w14:textId="77777777" w:rsidR="00966286" w:rsidRDefault="00966286" w:rsidP="00477077">
            <w:pPr>
              <w:widowControl w:val="0"/>
              <w:jc w:val="center"/>
              <w:rPr>
                <w:rFonts w:cstheme="minorHAnsi"/>
              </w:rPr>
            </w:pPr>
            <w:r w:rsidRPr="00966286">
              <w:rPr>
                <w:rFonts w:cstheme="minorHAnsi"/>
              </w:rPr>
              <w:t>10% &amp;</w:t>
            </w:r>
          </w:p>
          <w:p w14:paraId="198F9662" w14:textId="77777777" w:rsidR="00966286" w:rsidRPr="00966286" w:rsidRDefault="00966286" w:rsidP="00477077">
            <w:pPr>
              <w:widowControl w:val="0"/>
              <w:jc w:val="center"/>
              <w:rPr>
                <w:rFonts w:cstheme="minorHAnsi"/>
              </w:rPr>
            </w:pPr>
            <w:r w:rsidRPr="00966286">
              <w:rPr>
                <w:rFonts w:cstheme="minorHAnsi"/>
              </w:rPr>
              <w:t>20%</w:t>
            </w:r>
          </w:p>
        </w:tc>
      </w:tr>
      <w:tr w:rsidR="00966286" w:rsidRPr="00966286" w14:paraId="6D16C1C7" w14:textId="77777777" w:rsidTr="00E03E64">
        <w:trPr>
          <w:cantSplit/>
          <w:jc w:val="center"/>
        </w:trPr>
        <w:tc>
          <w:tcPr>
            <w:tcW w:w="1620" w:type="dxa"/>
            <w:vMerge/>
            <w:tcBorders>
              <w:left w:val="single" w:sz="12" w:space="0" w:color="auto"/>
              <w:bottom w:val="single" w:sz="12" w:space="0" w:color="auto"/>
              <w:right w:val="single" w:sz="12" w:space="0" w:color="auto"/>
            </w:tcBorders>
            <w:shd w:val="clear" w:color="auto" w:fill="9BB7D9"/>
            <w:vAlign w:val="center"/>
          </w:tcPr>
          <w:p w14:paraId="04C1D053" w14:textId="77777777" w:rsidR="00966286" w:rsidRPr="00966286" w:rsidRDefault="00966286" w:rsidP="00966286">
            <w:pPr>
              <w:widowControl w:val="0"/>
              <w:rPr>
                <w:rFonts w:cstheme="minorHAnsi"/>
                <w:b/>
                <w:bCs/>
              </w:rPr>
            </w:pPr>
          </w:p>
        </w:tc>
        <w:tc>
          <w:tcPr>
            <w:tcW w:w="9180" w:type="dxa"/>
            <w:gridSpan w:val="10"/>
            <w:tcBorders>
              <w:top w:val="single" w:sz="4" w:space="0" w:color="auto"/>
              <w:left w:val="single" w:sz="12" w:space="0" w:color="auto"/>
              <w:bottom w:val="single" w:sz="12" w:space="0" w:color="auto"/>
              <w:right w:val="single" w:sz="12" w:space="0" w:color="auto"/>
            </w:tcBorders>
            <w:shd w:val="clear" w:color="auto" w:fill="9BB7D9"/>
            <w:vAlign w:val="center"/>
          </w:tcPr>
          <w:p w14:paraId="1A61C28B" w14:textId="739A96F4" w:rsidR="00966286" w:rsidRPr="00966286" w:rsidRDefault="00966286" w:rsidP="00672EA1">
            <w:pPr>
              <w:widowControl w:val="0"/>
              <w:numPr>
                <w:ilvl w:val="0"/>
                <w:numId w:val="19"/>
              </w:numPr>
              <w:ind w:left="288" w:hanging="288"/>
              <w:rPr>
                <w:rFonts w:cstheme="minorHAnsi"/>
              </w:rPr>
            </w:pPr>
            <w:r w:rsidRPr="00966286">
              <w:rPr>
                <w:rFonts w:cstheme="minorHAnsi"/>
              </w:rPr>
              <w:t xml:space="preserve">≤Zero emissions </w:t>
            </w:r>
            <w:proofErr w:type="gramStart"/>
            <w:r w:rsidRPr="00966286">
              <w:rPr>
                <w:rFonts w:cstheme="minorHAnsi"/>
              </w:rPr>
              <w:t>required</w:t>
            </w:r>
            <w:proofErr w:type="gramEnd"/>
          </w:p>
          <w:p w14:paraId="3370FF6D" w14:textId="77777777" w:rsidR="00966286" w:rsidRPr="00966286" w:rsidRDefault="00966286" w:rsidP="00672EA1">
            <w:pPr>
              <w:widowControl w:val="0"/>
              <w:numPr>
                <w:ilvl w:val="0"/>
                <w:numId w:val="19"/>
              </w:numPr>
              <w:ind w:left="288" w:hanging="288"/>
              <w:rPr>
                <w:rFonts w:cstheme="minorHAnsi"/>
              </w:rPr>
            </w:pPr>
            <w:r w:rsidRPr="00966286">
              <w:rPr>
                <w:rFonts w:cstheme="minorHAnsi"/>
              </w:rPr>
              <w:t xml:space="preserve">Placed in service after 12/31/24; 10-year </w:t>
            </w:r>
            <w:proofErr w:type="gramStart"/>
            <w:r w:rsidRPr="00966286">
              <w:rPr>
                <w:rFonts w:cstheme="minorHAnsi"/>
              </w:rPr>
              <w:t>term</w:t>
            </w:r>
            <w:proofErr w:type="gramEnd"/>
          </w:p>
          <w:p w14:paraId="1103C387" w14:textId="77777777" w:rsidR="00966286" w:rsidRPr="00966286" w:rsidRDefault="00966286" w:rsidP="00672EA1">
            <w:pPr>
              <w:widowControl w:val="0"/>
              <w:numPr>
                <w:ilvl w:val="0"/>
                <w:numId w:val="19"/>
              </w:numPr>
              <w:ind w:left="288" w:hanging="288"/>
              <w:rPr>
                <w:rFonts w:cstheme="minorHAnsi"/>
                <w:i/>
                <w:iCs/>
              </w:rPr>
            </w:pPr>
            <w:r w:rsidRPr="00966286">
              <w:rPr>
                <w:rFonts w:cstheme="minorHAnsi"/>
              </w:rPr>
              <w:t xml:space="preserve">Credit phase out when emission target achieved or by </w:t>
            </w:r>
            <w:proofErr w:type="gramStart"/>
            <w:r w:rsidRPr="00966286">
              <w:rPr>
                <w:rFonts w:cstheme="minorHAnsi"/>
              </w:rPr>
              <w:t>2032</w:t>
            </w:r>
            <w:proofErr w:type="gramEnd"/>
          </w:p>
          <w:p w14:paraId="5870DE18" w14:textId="77777777" w:rsidR="00966286" w:rsidRPr="00966286" w:rsidRDefault="00966286" w:rsidP="00672EA1">
            <w:pPr>
              <w:widowControl w:val="0"/>
              <w:numPr>
                <w:ilvl w:val="0"/>
                <w:numId w:val="19"/>
              </w:numPr>
              <w:ind w:left="288" w:hanging="288"/>
              <w:rPr>
                <w:rFonts w:cstheme="minorHAnsi"/>
                <w:i/>
                <w:iCs/>
              </w:rPr>
            </w:pPr>
            <w:r w:rsidRPr="00966286">
              <w:rPr>
                <w:rFonts w:cstheme="minorHAnsi"/>
              </w:rPr>
              <w:t xml:space="preserve">Credit phase out if domestic content requirements not met for ≥1 </w:t>
            </w:r>
            <w:proofErr w:type="gramStart"/>
            <w:r w:rsidRPr="00966286">
              <w:rPr>
                <w:rFonts w:cstheme="minorHAnsi"/>
              </w:rPr>
              <w:t>MW</w:t>
            </w:r>
            <w:proofErr w:type="gramEnd"/>
          </w:p>
          <w:p w14:paraId="7D052691" w14:textId="77777777" w:rsidR="00966286" w:rsidRPr="00966286" w:rsidRDefault="00966286" w:rsidP="00672EA1">
            <w:pPr>
              <w:widowControl w:val="0"/>
              <w:numPr>
                <w:ilvl w:val="0"/>
                <w:numId w:val="19"/>
              </w:numPr>
              <w:ind w:left="288" w:hanging="288"/>
              <w:rPr>
                <w:rFonts w:cstheme="minorHAnsi"/>
                <w:i/>
                <w:iCs/>
              </w:rPr>
            </w:pPr>
            <w:r w:rsidRPr="00966286">
              <w:rPr>
                <w:rFonts w:cstheme="minorHAnsi"/>
              </w:rPr>
              <w:t>Credit value 100% year 1, 75% year 2, 50% year 3, then 0%</w:t>
            </w:r>
          </w:p>
          <w:p w14:paraId="49A57F70" w14:textId="3AFC3914" w:rsidR="00966286" w:rsidRPr="00966286" w:rsidRDefault="00966286" w:rsidP="00672EA1">
            <w:pPr>
              <w:widowControl w:val="0"/>
              <w:numPr>
                <w:ilvl w:val="0"/>
                <w:numId w:val="19"/>
              </w:numPr>
              <w:ind w:left="288" w:hanging="288"/>
              <w:rPr>
                <w:rFonts w:cstheme="minorHAnsi"/>
              </w:rPr>
            </w:pPr>
            <w:r w:rsidRPr="00966286">
              <w:rPr>
                <w:rFonts w:cstheme="minorHAnsi"/>
              </w:rPr>
              <w:t>Using tax-exempt bonds reduces credit value (</w:t>
            </w:r>
            <w:r w:rsidR="007849E6">
              <w:rPr>
                <w:rFonts w:cstheme="minorHAnsi"/>
              </w:rPr>
              <w:t>IRC</w:t>
            </w:r>
            <w:r w:rsidRPr="00966286">
              <w:rPr>
                <w:rFonts w:cstheme="minorHAnsi"/>
              </w:rPr>
              <w:t xml:space="preserve"> § 45(b)(3))</w:t>
            </w:r>
          </w:p>
        </w:tc>
      </w:tr>
      <w:tr w:rsidR="00966286" w:rsidRPr="00966286" w14:paraId="4582A056" w14:textId="77777777" w:rsidTr="004652B6">
        <w:trPr>
          <w:cantSplit/>
          <w:trHeight w:val="432"/>
          <w:jc w:val="center"/>
        </w:trPr>
        <w:tc>
          <w:tcPr>
            <w:tcW w:w="10800" w:type="dxa"/>
            <w:gridSpan w:val="11"/>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1D14E42F" w14:textId="77777777" w:rsidR="00966286" w:rsidRPr="00966286" w:rsidRDefault="00966286" w:rsidP="00966286">
            <w:pPr>
              <w:widowControl w:val="0"/>
              <w:rPr>
                <w:rFonts w:cstheme="minorHAnsi"/>
              </w:rPr>
            </w:pPr>
            <w:r w:rsidRPr="00966286">
              <w:rPr>
                <w:rFonts w:cstheme="minorHAnsi"/>
                <w:b/>
                <w:bCs/>
              </w:rPr>
              <w:t>INVESTMENT TAX CREDIT &amp; DEDUCTION</w:t>
            </w:r>
          </w:p>
        </w:tc>
      </w:tr>
      <w:tr w:rsidR="007A671D" w:rsidRPr="00966286" w14:paraId="4E0955A1" w14:textId="77777777" w:rsidTr="002C3574">
        <w:tblPrEx>
          <w:jc w:val="left"/>
        </w:tblPrEx>
        <w:trPr>
          <w:cantSplit/>
        </w:trPr>
        <w:tc>
          <w:tcPr>
            <w:tcW w:w="1620" w:type="dxa"/>
            <w:vMerge w:val="restar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F4DE519" w14:textId="77777777" w:rsidR="00966286" w:rsidRPr="00966286" w:rsidRDefault="00966286" w:rsidP="00966286">
            <w:pPr>
              <w:widowControl w:val="0"/>
              <w:rPr>
                <w:rFonts w:cstheme="minorHAnsi"/>
                <w:b/>
                <w:bCs/>
              </w:rPr>
            </w:pPr>
            <w:r w:rsidRPr="00966286">
              <w:rPr>
                <w:rFonts w:cstheme="minorHAnsi"/>
                <w:b/>
                <w:bCs/>
              </w:rPr>
              <w:t xml:space="preserve">Vehicle Refueling Tax Credit </w:t>
            </w:r>
          </w:p>
          <w:p w14:paraId="2A5AD277" w14:textId="77777777" w:rsidR="00966286" w:rsidRPr="00966286" w:rsidRDefault="00966286" w:rsidP="00966286">
            <w:pPr>
              <w:widowControl w:val="0"/>
              <w:rPr>
                <w:rFonts w:cstheme="minorHAnsi"/>
                <w:b/>
                <w:bCs/>
              </w:rPr>
            </w:pPr>
            <w:r w:rsidRPr="00966286">
              <w:rPr>
                <w:rFonts w:cstheme="minorHAnsi"/>
              </w:rPr>
              <w:t>(§ 30C)</w:t>
            </w:r>
          </w:p>
        </w:tc>
        <w:tc>
          <w:tcPr>
            <w:tcW w:w="990" w:type="dxa"/>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7948E5A9" w14:textId="77777777" w:rsidR="00966286" w:rsidRPr="00966286" w:rsidRDefault="00966286" w:rsidP="00477077">
            <w:pPr>
              <w:widowControl w:val="0"/>
              <w:jc w:val="center"/>
              <w:rPr>
                <w:rFonts w:cstheme="minorHAnsi"/>
              </w:rPr>
            </w:pPr>
            <w:r w:rsidRPr="00966286">
              <w:rPr>
                <w:rFonts w:cstheme="minorHAnsi"/>
              </w:rPr>
              <w:t>Direct</w:t>
            </w:r>
          </w:p>
        </w:tc>
        <w:tc>
          <w:tcPr>
            <w:tcW w:w="2070" w:type="dxa"/>
            <w:tcBorders>
              <w:top w:val="single" w:sz="12" w:space="0" w:color="auto"/>
              <w:left w:val="single" w:sz="4" w:space="0" w:color="auto"/>
              <w:bottom w:val="single" w:sz="12" w:space="0" w:color="auto"/>
            </w:tcBorders>
            <w:shd w:val="clear" w:color="auto" w:fill="D9E2F3" w:themeFill="accent1" w:themeFillTint="33"/>
            <w:vAlign w:val="center"/>
          </w:tcPr>
          <w:p w14:paraId="7C9F7AB4" w14:textId="77777777" w:rsidR="00966286" w:rsidRPr="00966286" w:rsidRDefault="00966286" w:rsidP="00477077">
            <w:pPr>
              <w:widowControl w:val="0"/>
              <w:jc w:val="center"/>
              <w:rPr>
                <w:rFonts w:cstheme="minorHAnsi"/>
              </w:rPr>
            </w:pPr>
            <w:r w:rsidRPr="00966286">
              <w:rPr>
                <w:rFonts w:cstheme="minorHAnsi"/>
              </w:rPr>
              <w:t>6%</w:t>
            </w:r>
          </w:p>
        </w:tc>
        <w:tc>
          <w:tcPr>
            <w:tcW w:w="3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D334467" w14:textId="77777777" w:rsidR="00966286" w:rsidRPr="00966286" w:rsidRDefault="00966286" w:rsidP="00477077">
            <w:pPr>
              <w:widowControl w:val="0"/>
              <w:jc w:val="center"/>
              <w:rPr>
                <w:rFonts w:cstheme="minorHAnsi"/>
              </w:rPr>
            </w:pPr>
            <w:r w:rsidRPr="00966286">
              <w:rPr>
                <w:rFonts w:cstheme="minorHAnsi"/>
              </w:rPr>
              <w:t>B</w:t>
            </w:r>
          </w:p>
        </w:tc>
        <w:tc>
          <w:tcPr>
            <w:tcW w:w="21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D3E463" w14:textId="77777777" w:rsidR="00966286" w:rsidRPr="00966286" w:rsidRDefault="00966286" w:rsidP="00477077">
            <w:pPr>
              <w:widowControl w:val="0"/>
              <w:jc w:val="center"/>
              <w:rPr>
                <w:rFonts w:cstheme="minorHAnsi"/>
              </w:rPr>
            </w:pPr>
            <w:r w:rsidRPr="00966286">
              <w:rPr>
                <w:rFonts w:cstheme="minorHAnsi"/>
              </w:rPr>
              <w:t>30%</w:t>
            </w:r>
          </w:p>
        </w:tc>
        <w:tc>
          <w:tcPr>
            <w:tcW w:w="360" w:type="dxa"/>
            <w:tcBorders>
              <w:top w:val="single" w:sz="12" w:space="0" w:color="auto"/>
              <w:left w:val="single" w:sz="12" w:space="0" w:color="auto"/>
              <w:bottom w:val="single" w:sz="12" w:space="0" w:color="auto"/>
              <w:right w:val="single" w:sz="12" w:space="0" w:color="auto"/>
            </w:tcBorders>
            <w:shd w:val="clear" w:color="auto" w:fill="D9E2F3"/>
            <w:vAlign w:val="center"/>
          </w:tcPr>
          <w:p w14:paraId="15ED4996" w14:textId="77777777" w:rsidR="00966286" w:rsidRPr="00966286" w:rsidRDefault="00966286" w:rsidP="00477077">
            <w:pPr>
              <w:widowControl w:val="0"/>
              <w:jc w:val="center"/>
              <w:rPr>
                <w:rFonts w:cstheme="minorHAnsi"/>
              </w:rPr>
            </w:pPr>
            <w:r w:rsidRPr="00966286">
              <w:rPr>
                <w:rFonts w:cstheme="minorHAnsi"/>
              </w:rPr>
              <w:t>-</w:t>
            </w:r>
          </w:p>
        </w:tc>
        <w:tc>
          <w:tcPr>
            <w:tcW w:w="810" w:type="dxa"/>
            <w:tcBorders>
              <w:top w:val="single" w:sz="12" w:space="0" w:color="auto"/>
              <w:left w:val="single" w:sz="12" w:space="0" w:color="auto"/>
              <w:bottom w:val="single" w:sz="12" w:space="0" w:color="auto"/>
              <w:right w:val="single" w:sz="12" w:space="0" w:color="auto"/>
            </w:tcBorders>
            <w:shd w:val="clear" w:color="auto" w:fill="D9E2F3"/>
            <w:vAlign w:val="center"/>
          </w:tcPr>
          <w:p w14:paraId="4B2CCBFF"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12" w:space="0" w:color="auto"/>
              <w:right w:val="single" w:sz="12" w:space="0" w:color="auto"/>
            </w:tcBorders>
            <w:shd w:val="clear" w:color="auto" w:fill="D9E2F3"/>
            <w:vAlign w:val="center"/>
          </w:tcPr>
          <w:p w14:paraId="109AD194" w14:textId="77777777" w:rsidR="00966286" w:rsidRPr="00966286" w:rsidRDefault="00966286" w:rsidP="00477077">
            <w:pPr>
              <w:widowControl w:val="0"/>
              <w:jc w:val="center"/>
              <w:rPr>
                <w:rFonts w:cstheme="minorHAnsi"/>
              </w:rPr>
            </w:pPr>
            <w:r w:rsidRPr="00966286">
              <w:rPr>
                <w:rFonts w:cstheme="minorHAnsi"/>
              </w:rPr>
              <w:t>-</w:t>
            </w:r>
          </w:p>
        </w:tc>
        <w:tc>
          <w:tcPr>
            <w:tcW w:w="810" w:type="dxa"/>
            <w:tcBorders>
              <w:top w:val="single" w:sz="12" w:space="0" w:color="auto"/>
              <w:left w:val="single" w:sz="12" w:space="0" w:color="auto"/>
              <w:bottom w:val="single" w:sz="12" w:space="0" w:color="auto"/>
              <w:right w:val="single" w:sz="12" w:space="0" w:color="auto"/>
            </w:tcBorders>
            <w:shd w:val="clear" w:color="auto" w:fill="D9E2F3"/>
            <w:vAlign w:val="center"/>
          </w:tcPr>
          <w:p w14:paraId="1E66C960"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8481A99" w14:textId="77777777" w:rsidR="00966286" w:rsidRPr="00966286" w:rsidRDefault="00966286" w:rsidP="00477077">
            <w:pPr>
              <w:widowControl w:val="0"/>
              <w:jc w:val="center"/>
              <w:rPr>
                <w:rFonts w:cstheme="minorHAnsi"/>
              </w:rPr>
            </w:pPr>
            <w:r w:rsidRPr="00966286">
              <w:rPr>
                <w:rFonts w:cstheme="minorHAnsi"/>
              </w:rPr>
              <w:t>R</w:t>
            </w:r>
          </w:p>
        </w:tc>
        <w:tc>
          <w:tcPr>
            <w:tcW w:w="90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1315EA9" w14:textId="77777777" w:rsidR="00966286" w:rsidRPr="00966286" w:rsidRDefault="00966286" w:rsidP="00477077">
            <w:pPr>
              <w:widowControl w:val="0"/>
              <w:jc w:val="center"/>
              <w:rPr>
                <w:rFonts w:cstheme="minorHAnsi"/>
              </w:rPr>
            </w:pPr>
            <w:r w:rsidRPr="00966286">
              <w:rPr>
                <w:rFonts w:cstheme="minorHAnsi"/>
              </w:rPr>
              <w:t>-</w:t>
            </w:r>
          </w:p>
        </w:tc>
      </w:tr>
      <w:tr w:rsidR="00966286" w:rsidRPr="00966286" w14:paraId="4F23CDEB" w14:textId="77777777" w:rsidTr="00B81F37">
        <w:tblPrEx>
          <w:jc w:val="left"/>
        </w:tblPrEx>
        <w:trPr>
          <w:cantSplit/>
        </w:trPr>
        <w:tc>
          <w:tcPr>
            <w:tcW w:w="1620" w:type="dxa"/>
            <w:vMerge/>
            <w:tcBorders>
              <w:top w:val="nil"/>
              <w:left w:val="single" w:sz="12" w:space="0" w:color="auto"/>
              <w:bottom w:val="single" w:sz="12" w:space="0" w:color="auto"/>
              <w:right w:val="single" w:sz="12" w:space="0" w:color="auto"/>
            </w:tcBorders>
            <w:shd w:val="clear" w:color="auto" w:fill="D9E2F3" w:themeFill="accent1" w:themeFillTint="33"/>
            <w:vAlign w:val="center"/>
          </w:tcPr>
          <w:p w14:paraId="5726F254" w14:textId="77777777" w:rsidR="00966286" w:rsidRPr="00966286" w:rsidRDefault="00966286" w:rsidP="00966286">
            <w:pPr>
              <w:widowControl w:val="0"/>
              <w:rPr>
                <w:rFonts w:cstheme="minorHAnsi"/>
                <w:b/>
                <w:bCs/>
              </w:rPr>
            </w:pPr>
          </w:p>
        </w:tc>
        <w:tc>
          <w:tcPr>
            <w:tcW w:w="9180" w:type="dxa"/>
            <w:gridSpan w:val="10"/>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C2B6F7D" w14:textId="77777777" w:rsidR="00966286" w:rsidRPr="00966286" w:rsidRDefault="00966286" w:rsidP="00672EA1">
            <w:pPr>
              <w:widowControl w:val="0"/>
              <w:numPr>
                <w:ilvl w:val="0"/>
                <w:numId w:val="27"/>
              </w:numPr>
              <w:ind w:left="288" w:hanging="288"/>
              <w:rPr>
                <w:rFonts w:cstheme="minorHAnsi"/>
              </w:rPr>
            </w:pPr>
            <w:r w:rsidRPr="00966286">
              <w:rPr>
                <w:rFonts w:cstheme="minorHAnsi"/>
              </w:rPr>
              <w:t>Placed in service between 2023-2032</w:t>
            </w:r>
          </w:p>
          <w:p w14:paraId="7960C242" w14:textId="77777777" w:rsidR="00966286" w:rsidRPr="00966286" w:rsidRDefault="00966286" w:rsidP="00672EA1">
            <w:pPr>
              <w:widowControl w:val="0"/>
              <w:numPr>
                <w:ilvl w:val="0"/>
                <w:numId w:val="27"/>
              </w:numPr>
              <w:ind w:left="288" w:hanging="288"/>
              <w:rPr>
                <w:rFonts w:cstheme="minorHAnsi"/>
              </w:rPr>
            </w:pPr>
            <w:r w:rsidRPr="00966286">
              <w:rPr>
                <w:rFonts w:cstheme="minorHAnsi"/>
              </w:rPr>
              <w:t xml:space="preserve">Capped at $100,000 per single </w:t>
            </w:r>
            <w:proofErr w:type="gramStart"/>
            <w:r w:rsidRPr="00966286">
              <w:rPr>
                <w:rFonts w:cstheme="minorHAnsi"/>
              </w:rPr>
              <w:t>item</w:t>
            </w:r>
            <w:proofErr w:type="gramEnd"/>
          </w:p>
          <w:p w14:paraId="2DE5B9B7" w14:textId="77777777" w:rsidR="00372892" w:rsidRPr="00966286" w:rsidRDefault="000402AC" w:rsidP="00372892">
            <w:pPr>
              <w:widowControl w:val="0"/>
              <w:numPr>
                <w:ilvl w:val="0"/>
                <w:numId w:val="27"/>
              </w:numPr>
              <w:ind w:left="288" w:hanging="288"/>
              <w:rPr>
                <w:rFonts w:cstheme="minorHAnsi"/>
              </w:rPr>
            </w:pPr>
            <w:hyperlink r:id="rId28" w:anchor="faq-What-does-low-income-community-mean-for-Inflation-Reduction-Act-tax-credits?" w:history="1">
              <w:r w:rsidR="00372892" w:rsidRPr="005D2271">
                <w:rPr>
                  <w:rStyle w:val="Hyperlink"/>
                  <w:rFonts w:cstheme="minorHAnsi"/>
                </w:rPr>
                <w:t>Low-income</w:t>
              </w:r>
            </w:hyperlink>
            <w:r w:rsidR="00372892" w:rsidRPr="00966286">
              <w:rPr>
                <w:rFonts w:cstheme="minorHAnsi"/>
              </w:rPr>
              <w:t xml:space="preserve"> (</w:t>
            </w:r>
            <w:r w:rsidR="00372892">
              <w:rPr>
                <w:rFonts w:cstheme="minorHAnsi"/>
              </w:rPr>
              <w:t>IRC</w:t>
            </w:r>
            <w:r w:rsidR="00372892" w:rsidRPr="00966286">
              <w:rPr>
                <w:rFonts w:cstheme="minorHAnsi"/>
              </w:rPr>
              <w:t xml:space="preserve"> § 40D9(e)) or non-urban census tracts only</w:t>
            </w:r>
          </w:p>
          <w:p w14:paraId="50AE70A2" w14:textId="77777777" w:rsidR="00966286" w:rsidRPr="00966286" w:rsidRDefault="00966286" w:rsidP="00672EA1">
            <w:pPr>
              <w:widowControl w:val="0"/>
              <w:numPr>
                <w:ilvl w:val="0"/>
                <w:numId w:val="27"/>
              </w:numPr>
              <w:ind w:left="288" w:hanging="288"/>
              <w:rPr>
                <w:rFonts w:cstheme="minorHAnsi"/>
              </w:rPr>
            </w:pPr>
            <w:r w:rsidRPr="00966286">
              <w:rPr>
                <w:rFonts w:cstheme="minorHAnsi"/>
              </w:rPr>
              <w:t>Property must be subject to depreciation</w:t>
            </w:r>
          </w:p>
        </w:tc>
      </w:tr>
      <w:tr w:rsidR="00966286" w:rsidRPr="00966286" w14:paraId="6C33F107" w14:textId="77777777" w:rsidTr="00B8094F">
        <w:tblPrEx>
          <w:jc w:val="left"/>
        </w:tblPrEx>
        <w:trPr>
          <w:cantSplit/>
        </w:trPr>
        <w:tc>
          <w:tcPr>
            <w:tcW w:w="1620" w:type="dxa"/>
            <w:vMerge w:val="restart"/>
            <w:tcBorders>
              <w:top w:val="single" w:sz="12" w:space="0" w:color="auto"/>
              <w:left w:val="single" w:sz="12" w:space="0" w:color="auto"/>
              <w:bottom w:val="single" w:sz="12" w:space="0" w:color="auto"/>
              <w:right w:val="single" w:sz="12" w:space="0" w:color="auto"/>
            </w:tcBorders>
            <w:shd w:val="clear" w:color="auto" w:fill="9BB7D9"/>
            <w:vAlign w:val="center"/>
          </w:tcPr>
          <w:p w14:paraId="7F803D65" w14:textId="77777777" w:rsidR="00D03ECE" w:rsidRDefault="00966286" w:rsidP="00966286">
            <w:pPr>
              <w:widowControl w:val="0"/>
              <w:rPr>
                <w:rFonts w:cstheme="minorHAnsi"/>
                <w:b/>
                <w:bCs/>
              </w:rPr>
            </w:pPr>
            <w:r w:rsidRPr="00966286">
              <w:rPr>
                <w:rFonts w:cstheme="minorHAnsi"/>
                <w:b/>
                <w:bCs/>
              </w:rPr>
              <w:t xml:space="preserve">Commercial Clean Vehicles Tax Credit </w:t>
            </w:r>
          </w:p>
          <w:p w14:paraId="2B9F8CC2" w14:textId="59A08E4E" w:rsidR="00966286" w:rsidRPr="00966286" w:rsidRDefault="00966286" w:rsidP="00966286">
            <w:pPr>
              <w:widowControl w:val="0"/>
              <w:rPr>
                <w:rFonts w:cstheme="minorHAnsi"/>
                <w:b/>
                <w:bCs/>
              </w:rPr>
            </w:pPr>
            <w:r w:rsidRPr="00966286">
              <w:rPr>
                <w:rFonts w:cstheme="minorHAnsi"/>
              </w:rPr>
              <w:t>(§</w:t>
            </w:r>
            <w:r w:rsidR="00D03ECE">
              <w:rPr>
                <w:rFonts w:cstheme="minorHAnsi"/>
              </w:rPr>
              <w:t xml:space="preserve"> </w:t>
            </w:r>
            <w:r w:rsidRPr="00966286">
              <w:rPr>
                <w:rFonts w:cstheme="minorHAnsi"/>
              </w:rPr>
              <w:t>45W)</w:t>
            </w:r>
          </w:p>
        </w:tc>
        <w:tc>
          <w:tcPr>
            <w:tcW w:w="990" w:type="dxa"/>
            <w:tcBorders>
              <w:top w:val="single" w:sz="12" w:space="0" w:color="auto"/>
              <w:left w:val="single" w:sz="12" w:space="0" w:color="auto"/>
              <w:bottom w:val="single" w:sz="12" w:space="0" w:color="auto"/>
              <w:right w:val="single" w:sz="12" w:space="0" w:color="auto"/>
            </w:tcBorders>
            <w:shd w:val="clear" w:color="auto" w:fill="9BB7D9"/>
            <w:vAlign w:val="center"/>
          </w:tcPr>
          <w:p w14:paraId="22E7C6E5" w14:textId="77777777" w:rsidR="00966286" w:rsidRPr="00966286" w:rsidRDefault="00966286" w:rsidP="00477077">
            <w:pPr>
              <w:widowControl w:val="0"/>
              <w:jc w:val="center"/>
              <w:rPr>
                <w:rFonts w:cstheme="minorHAnsi"/>
                <w:vertAlign w:val="subscript"/>
              </w:rPr>
            </w:pPr>
            <w:r w:rsidRPr="00966286">
              <w:rPr>
                <w:rFonts w:cstheme="minorHAnsi"/>
              </w:rPr>
              <w:t>Direct</w:t>
            </w:r>
          </w:p>
        </w:tc>
        <w:tc>
          <w:tcPr>
            <w:tcW w:w="2070" w:type="dxa"/>
            <w:tcBorders>
              <w:top w:val="single" w:sz="12" w:space="0" w:color="auto"/>
              <w:left w:val="single" w:sz="12" w:space="0" w:color="auto"/>
              <w:bottom w:val="single" w:sz="12" w:space="0" w:color="auto"/>
            </w:tcBorders>
            <w:shd w:val="clear" w:color="auto" w:fill="9BB7D9"/>
            <w:vAlign w:val="center"/>
          </w:tcPr>
          <w:p w14:paraId="36E9C58D" w14:textId="1B887A77" w:rsidR="00966286" w:rsidRPr="00966286" w:rsidRDefault="00966286" w:rsidP="00A3189F">
            <w:pPr>
              <w:widowControl w:val="0"/>
              <w:jc w:val="center"/>
              <w:rPr>
                <w:rFonts w:cstheme="minorHAnsi"/>
              </w:rPr>
            </w:pPr>
            <w:r w:rsidRPr="00966286">
              <w:rPr>
                <w:rFonts w:cstheme="minorHAnsi"/>
              </w:rPr>
              <w:t>Vehicle &amp; Machinery</w:t>
            </w:r>
            <w:r w:rsidR="00A3189F">
              <w:rPr>
                <w:rFonts w:cstheme="minorHAnsi"/>
              </w:rPr>
              <w:t xml:space="preserve"> </w:t>
            </w:r>
            <w:r w:rsidRPr="00966286">
              <w:rPr>
                <w:rFonts w:cstheme="minorHAnsi"/>
              </w:rPr>
              <w:t>Dependent*</w:t>
            </w:r>
          </w:p>
        </w:tc>
        <w:tc>
          <w:tcPr>
            <w:tcW w:w="360" w:type="dxa"/>
            <w:tcBorders>
              <w:top w:val="single" w:sz="12" w:space="0" w:color="auto"/>
              <w:left w:val="single" w:sz="12" w:space="0" w:color="auto"/>
              <w:bottom w:val="single" w:sz="12" w:space="0" w:color="auto"/>
              <w:right w:val="single" w:sz="12" w:space="0" w:color="auto"/>
            </w:tcBorders>
            <w:shd w:val="clear" w:color="auto" w:fill="9BB7D9"/>
            <w:vAlign w:val="center"/>
          </w:tcPr>
          <w:p w14:paraId="414C7954" w14:textId="77777777" w:rsidR="00966286" w:rsidRPr="00966286" w:rsidRDefault="00966286" w:rsidP="00477077">
            <w:pPr>
              <w:widowControl w:val="0"/>
              <w:jc w:val="center"/>
              <w:rPr>
                <w:rFonts w:cstheme="minorHAnsi"/>
              </w:rPr>
            </w:pPr>
            <w:r w:rsidRPr="00966286">
              <w:rPr>
                <w:rFonts w:cstheme="minorHAnsi"/>
              </w:rPr>
              <w:t>-</w:t>
            </w:r>
          </w:p>
        </w:tc>
        <w:tc>
          <w:tcPr>
            <w:tcW w:w="2160" w:type="dxa"/>
            <w:tcBorders>
              <w:top w:val="single" w:sz="12" w:space="0" w:color="auto"/>
              <w:left w:val="single" w:sz="12" w:space="0" w:color="auto"/>
              <w:bottom w:val="single" w:sz="12" w:space="0" w:color="auto"/>
              <w:right w:val="single" w:sz="12" w:space="0" w:color="auto"/>
            </w:tcBorders>
            <w:shd w:val="clear" w:color="auto" w:fill="9BB7D9"/>
            <w:vAlign w:val="center"/>
          </w:tcPr>
          <w:p w14:paraId="2DD773D1"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12" w:space="0" w:color="auto"/>
              <w:right w:val="single" w:sz="12" w:space="0" w:color="auto"/>
            </w:tcBorders>
            <w:shd w:val="clear" w:color="auto" w:fill="9BB7D9"/>
            <w:vAlign w:val="center"/>
          </w:tcPr>
          <w:p w14:paraId="3D82ECC5" w14:textId="77777777" w:rsidR="00966286" w:rsidRPr="00966286" w:rsidRDefault="00966286" w:rsidP="00477077">
            <w:pPr>
              <w:widowControl w:val="0"/>
              <w:jc w:val="center"/>
              <w:rPr>
                <w:rFonts w:cstheme="minorHAnsi"/>
              </w:rPr>
            </w:pPr>
            <w:r w:rsidRPr="00966286">
              <w:rPr>
                <w:rFonts w:cstheme="minorHAnsi"/>
              </w:rPr>
              <w:t>R</w:t>
            </w:r>
          </w:p>
        </w:tc>
        <w:tc>
          <w:tcPr>
            <w:tcW w:w="810" w:type="dxa"/>
            <w:tcBorders>
              <w:top w:val="single" w:sz="12" w:space="0" w:color="auto"/>
              <w:left w:val="single" w:sz="12" w:space="0" w:color="auto"/>
              <w:bottom w:val="single" w:sz="12" w:space="0" w:color="auto"/>
              <w:right w:val="single" w:sz="12" w:space="0" w:color="auto"/>
            </w:tcBorders>
            <w:shd w:val="clear" w:color="auto" w:fill="9BB7D9"/>
            <w:vAlign w:val="center"/>
          </w:tcPr>
          <w:p w14:paraId="62C22538"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12" w:space="0" w:color="auto"/>
              <w:right w:val="single" w:sz="12" w:space="0" w:color="auto"/>
            </w:tcBorders>
            <w:shd w:val="clear" w:color="auto" w:fill="9BB7D9"/>
            <w:vAlign w:val="center"/>
          </w:tcPr>
          <w:p w14:paraId="4D1AC583" w14:textId="77777777" w:rsidR="00966286" w:rsidRPr="00966286" w:rsidRDefault="00966286" w:rsidP="00477077">
            <w:pPr>
              <w:widowControl w:val="0"/>
              <w:jc w:val="center"/>
              <w:rPr>
                <w:rFonts w:cstheme="minorHAnsi"/>
              </w:rPr>
            </w:pPr>
            <w:r w:rsidRPr="00966286">
              <w:rPr>
                <w:rFonts w:cstheme="minorHAnsi"/>
              </w:rPr>
              <w:t>-</w:t>
            </w:r>
          </w:p>
        </w:tc>
        <w:tc>
          <w:tcPr>
            <w:tcW w:w="810" w:type="dxa"/>
            <w:tcBorders>
              <w:top w:val="single" w:sz="12" w:space="0" w:color="auto"/>
              <w:left w:val="single" w:sz="12" w:space="0" w:color="auto"/>
              <w:bottom w:val="single" w:sz="12" w:space="0" w:color="auto"/>
              <w:right w:val="single" w:sz="12" w:space="0" w:color="auto"/>
            </w:tcBorders>
            <w:shd w:val="clear" w:color="auto" w:fill="9BB7D9"/>
            <w:vAlign w:val="center"/>
          </w:tcPr>
          <w:p w14:paraId="17180936"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12" w:space="0" w:color="auto"/>
              <w:right w:val="single" w:sz="12" w:space="0" w:color="auto"/>
            </w:tcBorders>
            <w:shd w:val="clear" w:color="auto" w:fill="9BB7D9"/>
            <w:vAlign w:val="center"/>
          </w:tcPr>
          <w:p w14:paraId="10260F32" w14:textId="77777777" w:rsidR="00966286" w:rsidRPr="00966286" w:rsidRDefault="00966286" w:rsidP="00477077">
            <w:pPr>
              <w:widowControl w:val="0"/>
              <w:jc w:val="center"/>
              <w:rPr>
                <w:rFonts w:cstheme="minorHAnsi"/>
              </w:rPr>
            </w:pPr>
            <w:r w:rsidRPr="00966286">
              <w:rPr>
                <w:rFonts w:cstheme="minorHAnsi"/>
              </w:rPr>
              <w:t>-</w:t>
            </w:r>
          </w:p>
        </w:tc>
        <w:tc>
          <w:tcPr>
            <w:tcW w:w="900" w:type="dxa"/>
            <w:tcBorders>
              <w:top w:val="single" w:sz="12" w:space="0" w:color="auto"/>
              <w:left w:val="single" w:sz="12" w:space="0" w:color="auto"/>
              <w:bottom w:val="single" w:sz="12" w:space="0" w:color="auto"/>
              <w:right w:val="single" w:sz="12" w:space="0" w:color="auto"/>
            </w:tcBorders>
            <w:shd w:val="clear" w:color="auto" w:fill="9BB7D9"/>
            <w:vAlign w:val="center"/>
          </w:tcPr>
          <w:p w14:paraId="1F21BBF2" w14:textId="77777777" w:rsidR="00966286" w:rsidRPr="00966286" w:rsidRDefault="00966286" w:rsidP="00477077">
            <w:pPr>
              <w:widowControl w:val="0"/>
              <w:jc w:val="center"/>
              <w:rPr>
                <w:rFonts w:cstheme="minorHAnsi"/>
              </w:rPr>
            </w:pPr>
            <w:r w:rsidRPr="00966286">
              <w:rPr>
                <w:rFonts w:cstheme="minorHAnsi"/>
              </w:rPr>
              <w:t>-</w:t>
            </w:r>
          </w:p>
        </w:tc>
      </w:tr>
      <w:tr w:rsidR="00966286" w:rsidRPr="00966286" w14:paraId="2D789F04" w14:textId="77777777" w:rsidTr="00B8094F">
        <w:tblPrEx>
          <w:jc w:val="left"/>
        </w:tblPrEx>
        <w:trPr>
          <w:cantSplit/>
        </w:trPr>
        <w:tc>
          <w:tcPr>
            <w:tcW w:w="1620" w:type="dxa"/>
            <w:vMerge/>
            <w:tcBorders>
              <w:top w:val="single" w:sz="12" w:space="0" w:color="auto"/>
              <w:left w:val="single" w:sz="12" w:space="0" w:color="auto"/>
              <w:bottom w:val="single" w:sz="12" w:space="0" w:color="auto"/>
              <w:right w:val="single" w:sz="12" w:space="0" w:color="auto"/>
            </w:tcBorders>
            <w:shd w:val="clear" w:color="auto" w:fill="9BB7D9"/>
            <w:vAlign w:val="center"/>
          </w:tcPr>
          <w:p w14:paraId="1FB289A3" w14:textId="77777777" w:rsidR="00966286" w:rsidRPr="00966286" w:rsidRDefault="00966286" w:rsidP="00966286">
            <w:pPr>
              <w:widowControl w:val="0"/>
              <w:rPr>
                <w:rFonts w:cstheme="minorHAnsi"/>
                <w:b/>
                <w:bCs/>
              </w:rPr>
            </w:pPr>
          </w:p>
        </w:tc>
        <w:tc>
          <w:tcPr>
            <w:tcW w:w="9180" w:type="dxa"/>
            <w:gridSpan w:val="10"/>
            <w:tcBorders>
              <w:top w:val="single" w:sz="12" w:space="0" w:color="auto"/>
              <w:left w:val="single" w:sz="12" w:space="0" w:color="auto"/>
              <w:bottom w:val="single" w:sz="12" w:space="0" w:color="auto"/>
              <w:right w:val="single" w:sz="12" w:space="0" w:color="auto"/>
            </w:tcBorders>
            <w:shd w:val="clear" w:color="auto" w:fill="9BB7D9"/>
            <w:vAlign w:val="center"/>
          </w:tcPr>
          <w:p w14:paraId="1F5701DE"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 xml:space="preserve">Base rate is 15-30% depending on power source, or the incremental cost of such vehicle, whichever is </w:t>
            </w:r>
            <w:proofErr w:type="gramStart"/>
            <w:r w:rsidRPr="00966286">
              <w:rPr>
                <w:rFonts w:cstheme="minorHAnsi"/>
              </w:rPr>
              <w:t>less</w:t>
            </w:r>
            <w:proofErr w:type="gramEnd"/>
          </w:p>
          <w:p w14:paraId="67EF5858"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Placed in service between 2023-2032</w:t>
            </w:r>
          </w:p>
          <w:p w14:paraId="641D18BC" w14:textId="77777777" w:rsidR="00966286" w:rsidRPr="00966286" w:rsidRDefault="00966286" w:rsidP="00672EA1">
            <w:pPr>
              <w:widowControl w:val="0"/>
              <w:numPr>
                <w:ilvl w:val="0"/>
                <w:numId w:val="23"/>
              </w:numPr>
              <w:ind w:left="288" w:hanging="288"/>
              <w:rPr>
                <w:rFonts w:cstheme="minorHAnsi"/>
              </w:rPr>
            </w:pPr>
            <w:r w:rsidRPr="00966286">
              <w:rPr>
                <w:rFonts w:cstheme="minorHAnsi"/>
              </w:rPr>
              <w:t>IRS designates eligible vehicles and annual tax credit rate.  For 2023, rates are:</w:t>
            </w:r>
          </w:p>
          <w:p w14:paraId="4B4ACC4C" w14:textId="77777777" w:rsidR="00966286" w:rsidRPr="00966286" w:rsidRDefault="00966286" w:rsidP="00672EA1">
            <w:pPr>
              <w:widowControl w:val="0"/>
              <w:numPr>
                <w:ilvl w:val="1"/>
                <w:numId w:val="25"/>
              </w:numPr>
              <w:ind w:left="792"/>
              <w:rPr>
                <w:rFonts w:cstheme="minorHAnsi"/>
              </w:rPr>
            </w:pPr>
            <w:r w:rsidRPr="00966286">
              <w:rPr>
                <w:rFonts w:cstheme="minorHAnsi"/>
              </w:rPr>
              <w:t>$7,000* compact car Plug-in Hybrid Electric Vehicle</w:t>
            </w:r>
          </w:p>
          <w:p w14:paraId="0F8C5DF3" w14:textId="77777777" w:rsidR="00966286" w:rsidRPr="00966286" w:rsidRDefault="00966286" w:rsidP="00672EA1">
            <w:pPr>
              <w:widowControl w:val="0"/>
              <w:numPr>
                <w:ilvl w:val="1"/>
                <w:numId w:val="25"/>
              </w:numPr>
              <w:ind w:left="792"/>
              <w:rPr>
                <w:rFonts w:cstheme="minorHAnsi"/>
              </w:rPr>
            </w:pPr>
            <w:r w:rsidRPr="00966286">
              <w:rPr>
                <w:rFonts w:cstheme="minorHAnsi"/>
              </w:rPr>
              <w:t>$7,500* other vehicles up to 14,000 pounds with ≥7 kWh battery</w:t>
            </w:r>
          </w:p>
          <w:p w14:paraId="16FCDAB1" w14:textId="77777777" w:rsidR="00966286" w:rsidRPr="00966286" w:rsidRDefault="00966286" w:rsidP="00672EA1">
            <w:pPr>
              <w:widowControl w:val="0"/>
              <w:numPr>
                <w:ilvl w:val="1"/>
                <w:numId w:val="25"/>
              </w:numPr>
              <w:ind w:left="792"/>
              <w:rPr>
                <w:rFonts w:cstheme="minorHAnsi"/>
              </w:rPr>
            </w:pPr>
            <w:r w:rsidRPr="00966286">
              <w:rPr>
                <w:rFonts w:cstheme="minorHAnsi"/>
              </w:rPr>
              <w:t xml:space="preserve">$40,000* mobile machinery (all other vehicles plus those under 26 USC § 4053(8); ex. commercial lawnmower, </w:t>
            </w:r>
            <w:proofErr w:type="gramStart"/>
            <w:r w:rsidRPr="00966286">
              <w:rPr>
                <w:rFonts w:cstheme="minorHAnsi"/>
              </w:rPr>
              <w:t>fork lift</w:t>
            </w:r>
            <w:proofErr w:type="gramEnd"/>
            <w:r w:rsidRPr="00966286">
              <w:rPr>
                <w:rFonts w:cstheme="minorHAnsi"/>
              </w:rPr>
              <w:t>, off highway vehicle)</w:t>
            </w:r>
          </w:p>
          <w:p w14:paraId="7D5E809A"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Depreciable property requirement doesn’t apply</w:t>
            </w:r>
          </w:p>
        </w:tc>
      </w:tr>
      <w:tr w:rsidR="00913C7C" w:rsidRPr="00966286" w14:paraId="63FCE35F" w14:textId="77777777" w:rsidTr="00913C7C">
        <w:tblPrEx>
          <w:jc w:val="left"/>
        </w:tblPrEx>
        <w:trPr>
          <w:cantSplit/>
        </w:trPr>
        <w:tc>
          <w:tcPr>
            <w:tcW w:w="10800" w:type="dxa"/>
            <w:gridSpan w:val="11"/>
            <w:tcBorders>
              <w:left w:val="nil"/>
              <w:bottom w:val="nil"/>
              <w:right w:val="nil"/>
            </w:tcBorders>
            <w:shd w:val="clear" w:color="auto" w:fill="auto"/>
            <w:vAlign w:val="center"/>
          </w:tcPr>
          <w:p w14:paraId="1FA6FB21" w14:textId="05AACE68" w:rsidR="00913C7C" w:rsidRPr="00966286" w:rsidRDefault="00913C7C" w:rsidP="00414DAA">
            <w:pPr>
              <w:widowControl w:val="0"/>
              <w:rPr>
                <w:rFonts w:cstheme="minorHAnsi"/>
              </w:rPr>
            </w:pPr>
            <w:r w:rsidRPr="00966286">
              <w:rPr>
                <w:rFonts w:cstheme="minorHAnsi"/>
              </w:rPr>
              <w:t>*</w:t>
            </w:r>
            <w:r w:rsidR="008C152C">
              <w:rPr>
                <w:rFonts w:cstheme="minorHAnsi"/>
              </w:rPr>
              <w:t xml:space="preserve">Reflects 2023 value. </w:t>
            </w:r>
            <w:r w:rsidRPr="00966286">
              <w:rPr>
                <w:rFonts w:cstheme="minorHAnsi"/>
              </w:rPr>
              <w:t xml:space="preserve">Value adjusted annually. See </w:t>
            </w:r>
            <w:hyperlink r:id="rId29" w:history="1">
              <w:r w:rsidR="00F0007C" w:rsidRPr="00F0007C">
                <w:rPr>
                  <w:rStyle w:val="Hyperlink"/>
                  <w:rFonts w:cstheme="minorHAnsi"/>
                </w:rPr>
                <w:t>IRS’ IRA website</w:t>
              </w:r>
            </w:hyperlink>
            <w:r w:rsidR="00F0007C">
              <w:rPr>
                <w:rFonts w:cstheme="minorHAnsi"/>
              </w:rPr>
              <w:t>.</w:t>
            </w:r>
          </w:p>
        </w:tc>
      </w:tr>
    </w:tbl>
    <w:p w14:paraId="269F0C3B" w14:textId="77777777" w:rsidR="00BD7FA0" w:rsidRDefault="00BD7FA0">
      <w:r>
        <w:br w:type="page"/>
      </w:r>
    </w:p>
    <w:tbl>
      <w:tblPr>
        <w:tblStyle w:val="TableGrid"/>
        <w:tblW w:w="10800" w:type="dxa"/>
        <w:jc w:val="center"/>
        <w:tblLayout w:type="fixed"/>
        <w:tblLook w:val="04A0" w:firstRow="1" w:lastRow="0" w:firstColumn="1" w:lastColumn="0" w:noHBand="0" w:noVBand="1"/>
        <w:tblDescription w:val="Summary table of Section 48 and Section 48E investment tax credit and Section 179D investment tax deduction"/>
      </w:tblPr>
      <w:tblGrid>
        <w:gridCol w:w="1620"/>
        <w:gridCol w:w="990"/>
        <w:gridCol w:w="2070"/>
        <w:gridCol w:w="360"/>
        <w:gridCol w:w="2160"/>
        <w:gridCol w:w="360"/>
        <w:gridCol w:w="810"/>
        <w:gridCol w:w="360"/>
        <w:gridCol w:w="810"/>
        <w:gridCol w:w="360"/>
        <w:gridCol w:w="900"/>
      </w:tblGrid>
      <w:tr w:rsidR="00BD7FA0" w:rsidRPr="00966286" w14:paraId="39306B2B" w14:textId="77777777" w:rsidTr="00BD7FA0">
        <w:trPr>
          <w:cantSplit/>
          <w:tblHeader/>
          <w:jc w:val="center"/>
        </w:trPr>
        <w:tc>
          <w:tcPr>
            <w:tcW w:w="1620" w:type="dxa"/>
            <w:tcBorders>
              <w:top w:val="nil"/>
              <w:left w:val="nil"/>
              <w:bottom w:val="single" w:sz="12" w:space="0" w:color="auto"/>
              <w:right w:val="nil"/>
            </w:tcBorders>
            <w:shd w:val="clear" w:color="auto" w:fill="auto"/>
            <w:vAlign w:val="center"/>
          </w:tcPr>
          <w:p w14:paraId="3EA50807" w14:textId="77777777" w:rsidR="00BD7FA0" w:rsidRPr="00966286" w:rsidRDefault="00BD7FA0" w:rsidP="00E03E64">
            <w:pPr>
              <w:widowControl w:val="0"/>
              <w:rPr>
                <w:rFonts w:cstheme="minorHAnsi"/>
                <w:b/>
                <w:bCs/>
                <w:color w:val="FFFFFF" w:themeColor="background1"/>
              </w:rPr>
            </w:pPr>
          </w:p>
        </w:tc>
        <w:tc>
          <w:tcPr>
            <w:tcW w:w="990" w:type="dxa"/>
            <w:tcBorders>
              <w:top w:val="nil"/>
              <w:left w:val="nil"/>
              <w:bottom w:val="single" w:sz="12" w:space="0" w:color="auto"/>
              <w:right w:val="nil"/>
            </w:tcBorders>
            <w:shd w:val="clear" w:color="auto" w:fill="auto"/>
            <w:vAlign w:val="center"/>
          </w:tcPr>
          <w:p w14:paraId="5C31D127" w14:textId="77777777" w:rsidR="00BD7FA0" w:rsidRPr="00966286" w:rsidRDefault="00BD7FA0" w:rsidP="00E03E64">
            <w:pPr>
              <w:widowControl w:val="0"/>
              <w:rPr>
                <w:rFonts w:cstheme="minorHAnsi"/>
                <w:b/>
                <w:bCs/>
                <w:color w:val="FFFFFF" w:themeColor="background1"/>
              </w:rPr>
            </w:pPr>
          </w:p>
        </w:tc>
        <w:tc>
          <w:tcPr>
            <w:tcW w:w="2070" w:type="dxa"/>
            <w:tcBorders>
              <w:top w:val="nil"/>
              <w:left w:val="nil"/>
              <w:bottom w:val="single" w:sz="12" w:space="0" w:color="auto"/>
              <w:right w:val="single" w:sz="12" w:space="0" w:color="auto"/>
            </w:tcBorders>
            <w:shd w:val="clear" w:color="auto" w:fill="auto"/>
            <w:vAlign w:val="center"/>
          </w:tcPr>
          <w:p w14:paraId="7E31B27C" w14:textId="77777777" w:rsidR="00BD7FA0" w:rsidRPr="00966286" w:rsidRDefault="00BD7FA0" w:rsidP="00E03E64">
            <w:pPr>
              <w:widowControl w:val="0"/>
              <w:rPr>
                <w:rFonts w:cstheme="minorHAnsi"/>
                <w:b/>
                <w:bCs/>
                <w:color w:val="FFFFFF" w:themeColor="background1"/>
              </w:rPr>
            </w:pPr>
          </w:p>
        </w:tc>
        <w:tc>
          <w:tcPr>
            <w:tcW w:w="6120" w:type="dxa"/>
            <w:gridSpan w:val="8"/>
            <w:tcBorders>
              <w:top w:val="single" w:sz="12" w:space="0" w:color="auto"/>
              <w:left w:val="single" w:sz="12" w:space="0" w:color="auto"/>
              <w:bottom w:val="single" w:sz="2" w:space="0" w:color="auto"/>
              <w:right w:val="single" w:sz="12" w:space="0" w:color="auto"/>
            </w:tcBorders>
            <w:shd w:val="clear" w:color="auto" w:fill="29486D"/>
            <w:vAlign w:val="center"/>
          </w:tcPr>
          <w:p w14:paraId="53993FC6" w14:textId="77777777" w:rsidR="00BD7FA0" w:rsidRPr="00966286" w:rsidRDefault="00BD7FA0" w:rsidP="00235CC7">
            <w:pPr>
              <w:widowControl w:val="0"/>
              <w:jc w:val="center"/>
              <w:rPr>
                <w:rFonts w:cstheme="minorHAnsi"/>
                <w:b/>
                <w:bCs/>
                <w:color w:val="FFFFFF" w:themeColor="background1"/>
              </w:rPr>
            </w:pPr>
            <w:r w:rsidRPr="00966286">
              <w:rPr>
                <w:rFonts w:cstheme="minorHAnsi"/>
                <w:b/>
                <w:bCs/>
                <w:color w:val="FFFFFF" w:themeColor="background1"/>
              </w:rPr>
              <w:t>Requirement (R) or Bonus Credit (B)</w:t>
            </w:r>
          </w:p>
        </w:tc>
      </w:tr>
      <w:tr w:rsidR="00BD7FA0" w:rsidRPr="00966286" w14:paraId="45A70415" w14:textId="77777777" w:rsidTr="00BD7FA0">
        <w:trPr>
          <w:cantSplit/>
          <w:trHeight w:val="1584"/>
          <w:tblHeader/>
          <w:jc w:val="center"/>
        </w:trPr>
        <w:tc>
          <w:tcPr>
            <w:tcW w:w="1620" w:type="dxa"/>
            <w:tcBorders>
              <w:top w:val="single" w:sz="12" w:space="0" w:color="auto"/>
              <w:left w:val="single" w:sz="12" w:space="0" w:color="auto"/>
              <w:bottom w:val="single" w:sz="12" w:space="0" w:color="auto"/>
              <w:right w:val="single" w:sz="12" w:space="0" w:color="auto"/>
            </w:tcBorders>
            <w:shd w:val="clear" w:color="auto" w:fill="29486D"/>
            <w:vAlign w:val="center"/>
          </w:tcPr>
          <w:p w14:paraId="118C1B1A" w14:textId="77777777" w:rsidR="00BD7FA0" w:rsidRPr="00966286" w:rsidRDefault="00BD7FA0" w:rsidP="00E03E64">
            <w:pPr>
              <w:widowControl w:val="0"/>
              <w:rPr>
                <w:rFonts w:cstheme="minorHAnsi"/>
                <w:b/>
                <w:bCs/>
                <w:color w:val="FFFFFF" w:themeColor="background1"/>
              </w:rPr>
            </w:pPr>
            <w:r w:rsidRPr="00966286">
              <w:rPr>
                <w:rFonts w:cstheme="minorHAnsi"/>
                <w:b/>
                <w:bCs/>
                <w:color w:val="FFFFFF" w:themeColor="background1"/>
              </w:rPr>
              <w:t>TAX CREDIT or DEDUCTION</w:t>
            </w:r>
          </w:p>
        </w:tc>
        <w:tc>
          <w:tcPr>
            <w:tcW w:w="990" w:type="dxa"/>
            <w:tcBorders>
              <w:top w:val="single" w:sz="12" w:space="0" w:color="auto"/>
              <w:left w:val="single" w:sz="12" w:space="0" w:color="auto"/>
              <w:bottom w:val="single" w:sz="12" w:space="0" w:color="auto"/>
              <w:right w:val="single" w:sz="12" w:space="0" w:color="auto"/>
            </w:tcBorders>
            <w:shd w:val="clear" w:color="auto" w:fill="29486D"/>
            <w:textDirection w:val="btLr"/>
            <w:vAlign w:val="center"/>
          </w:tcPr>
          <w:p w14:paraId="46F87D0D" w14:textId="77777777" w:rsidR="00BD7FA0" w:rsidRPr="00966286" w:rsidRDefault="00BD7FA0" w:rsidP="00E03E64">
            <w:pPr>
              <w:widowControl w:val="0"/>
              <w:ind w:left="144"/>
              <w:rPr>
                <w:rFonts w:cstheme="minorHAnsi"/>
                <w:b/>
                <w:bCs/>
                <w:color w:val="FFFFFF" w:themeColor="background1"/>
              </w:rPr>
            </w:pPr>
            <w:r w:rsidRPr="00966286">
              <w:rPr>
                <w:rFonts w:cstheme="minorHAnsi"/>
                <w:b/>
                <w:bCs/>
                <w:color w:val="FFFFFF" w:themeColor="background1"/>
              </w:rPr>
              <w:t xml:space="preserve">Direct Pay or </w:t>
            </w:r>
          </w:p>
          <w:p w14:paraId="45E235F0" w14:textId="77777777" w:rsidR="00BD7FA0" w:rsidRPr="00966286" w:rsidRDefault="00BD7FA0" w:rsidP="00E03E64">
            <w:pPr>
              <w:widowControl w:val="0"/>
              <w:ind w:left="144"/>
              <w:rPr>
                <w:rFonts w:cstheme="minorHAnsi"/>
                <w:b/>
                <w:bCs/>
                <w:color w:val="FFFFFF" w:themeColor="background1"/>
              </w:rPr>
            </w:pPr>
            <w:r w:rsidRPr="00966286">
              <w:rPr>
                <w:rFonts w:cstheme="minorHAnsi"/>
                <w:b/>
                <w:bCs/>
                <w:color w:val="FFFFFF" w:themeColor="background1"/>
              </w:rPr>
              <w:t>Credit Transfer</w:t>
            </w:r>
          </w:p>
        </w:tc>
        <w:tc>
          <w:tcPr>
            <w:tcW w:w="2070" w:type="dxa"/>
            <w:tcBorders>
              <w:top w:val="single" w:sz="12" w:space="0" w:color="auto"/>
              <w:left w:val="single" w:sz="12" w:space="0" w:color="auto"/>
              <w:bottom w:val="single" w:sz="12" w:space="0" w:color="auto"/>
            </w:tcBorders>
            <w:shd w:val="clear" w:color="auto" w:fill="29486D"/>
            <w:textDirection w:val="btLr"/>
            <w:vAlign w:val="center"/>
          </w:tcPr>
          <w:p w14:paraId="123C0657" w14:textId="77777777" w:rsidR="00BD7FA0" w:rsidRPr="00966286" w:rsidRDefault="00BD7FA0" w:rsidP="00E03E64">
            <w:pPr>
              <w:widowControl w:val="0"/>
              <w:ind w:left="144"/>
              <w:rPr>
                <w:rFonts w:cstheme="minorHAnsi"/>
                <w:b/>
                <w:bCs/>
                <w:color w:val="FFFFFF" w:themeColor="background1"/>
              </w:rPr>
            </w:pPr>
            <w:r w:rsidRPr="00966286">
              <w:rPr>
                <w:rFonts w:cstheme="minorHAnsi"/>
                <w:b/>
                <w:bCs/>
                <w:color w:val="FFFFFF" w:themeColor="background1"/>
              </w:rPr>
              <w:t>Base Rate</w:t>
            </w:r>
          </w:p>
        </w:tc>
        <w:tc>
          <w:tcPr>
            <w:tcW w:w="252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23CBFC64" w14:textId="77777777" w:rsidR="00BD7FA0" w:rsidRPr="00966286" w:rsidRDefault="00BD7FA0" w:rsidP="00E03E64">
            <w:pPr>
              <w:widowControl w:val="0"/>
              <w:ind w:left="144"/>
              <w:rPr>
                <w:rFonts w:cstheme="minorHAnsi"/>
                <w:color w:val="FFFFFF" w:themeColor="background1"/>
              </w:rPr>
            </w:pPr>
            <w:r w:rsidRPr="00966286">
              <w:rPr>
                <w:rFonts w:cstheme="minorHAnsi"/>
                <w:b/>
                <w:bCs/>
                <w:color w:val="FFFFFF" w:themeColor="background1"/>
              </w:rPr>
              <w:t>Labor Provisions</w:t>
            </w:r>
          </w:p>
        </w:tc>
        <w:tc>
          <w:tcPr>
            <w:tcW w:w="117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639E586D" w14:textId="77777777" w:rsidR="00BD7FA0" w:rsidRPr="00966286" w:rsidRDefault="00BD7FA0" w:rsidP="00E03E64">
            <w:pPr>
              <w:widowControl w:val="0"/>
              <w:ind w:left="144"/>
              <w:rPr>
                <w:rFonts w:cstheme="minorHAnsi"/>
                <w:b/>
                <w:bCs/>
                <w:color w:val="FFFFFF" w:themeColor="background1"/>
              </w:rPr>
            </w:pPr>
            <w:r w:rsidRPr="00966286">
              <w:rPr>
                <w:rFonts w:cstheme="minorHAnsi"/>
                <w:b/>
                <w:bCs/>
                <w:color w:val="FFFFFF" w:themeColor="background1"/>
              </w:rPr>
              <w:t>Domestic Content</w:t>
            </w:r>
          </w:p>
        </w:tc>
        <w:tc>
          <w:tcPr>
            <w:tcW w:w="117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4CB32E1B" w14:textId="77777777" w:rsidR="00BD7FA0" w:rsidRPr="00966286" w:rsidRDefault="00BD7FA0" w:rsidP="00E03E64">
            <w:pPr>
              <w:widowControl w:val="0"/>
              <w:ind w:left="144"/>
              <w:rPr>
                <w:rFonts w:cstheme="minorHAnsi"/>
                <w:b/>
                <w:bCs/>
                <w:color w:val="FFFFFF" w:themeColor="background1"/>
              </w:rPr>
            </w:pPr>
            <w:r w:rsidRPr="00966286">
              <w:rPr>
                <w:rFonts w:cstheme="minorHAnsi"/>
                <w:b/>
                <w:bCs/>
                <w:color w:val="FFFFFF" w:themeColor="background1"/>
              </w:rPr>
              <w:t>Energy Community</w:t>
            </w:r>
          </w:p>
        </w:tc>
        <w:tc>
          <w:tcPr>
            <w:tcW w:w="1260" w:type="dxa"/>
            <w:gridSpan w:val="2"/>
            <w:tcBorders>
              <w:top w:val="single" w:sz="2" w:space="0" w:color="auto"/>
              <w:left w:val="single" w:sz="12" w:space="0" w:color="auto"/>
              <w:bottom w:val="single" w:sz="12" w:space="0" w:color="auto"/>
              <w:right w:val="single" w:sz="12" w:space="0" w:color="auto"/>
            </w:tcBorders>
            <w:shd w:val="clear" w:color="auto" w:fill="29486D"/>
            <w:textDirection w:val="btLr"/>
            <w:vAlign w:val="center"/>
          </w:tcPr>
          <w:p w14:paraId="10FC99DA" w14:textId="77777777" w:rsidR="00BD7FA0" w:rsidRPr="00966286" w:rsidRDefault="00BD7FA0" w:rsidP="00E03E64">
            <w:pPr>
              <w:widowControl w:val="0"/>
              <w:ind w:left="144"/>
              <w:rPr>
                <w:rFonts w:cstheme="minorHAnsi"/>
                <w:b/>
                <w:bCs/>
                <w:color w:val="FFFFFF" w:themeColor="background1"/>
              </w:rPr>
            </w:pPr>
            <w:r w:rsidRPr="00966286">
              <w:rPr>
                <w:rFonts w:cstheme="minorHAnsi"/>
                <w:b/>
                <w:bCs/>
                <w:color w:val="FFFFFF" w:themeColor="background1"/>
              </w:rPr>
              <w:t>Environmental Justice</w:t>
            </w:r>
          </w:p>
        </w:tc>
      </w:tr>
      <w:tr w:rsidR="00966286" w:rsidRPr="00966286" w14:paraId="1E0A3F0F" w14:textId="77777777" w:rsidTr="00BD7FA0">
        <w:tblPrEx>
          <w:jc w:val="left"/>
        </w:tblPrEx>
        <w:trPr>
          <w:cantSplit/>
        </w:trPr>
        <w:tc>
          <w:tcPr>
            <w:tcW w:w="1620" w:type="dxa"/>
            <w:vMerge w:val="restar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77914BA" w14:textId="03628DCB" w:rsidR="00966286" w:rsidRPr="00966286" w:rsidRDefault="00966286" w:rsidP="00966286">
            <w:pPr>
              <w:widowControl w:val="0"/>
              <w:rPr>
                <w:rFonts w:cstheme="minorHAnsi"/>
                <w:b/>
                <w:bCs/>
              </w:rPr>
            </w:pPr>
            <w:r w:rsidRPr="00966286">
              <w:rPr>
                <w:rFonts w:cstheme="minorHAnsi"/>
                <w:b/>
                <w:bCs/>
              </w:rPr>
              <w:t xml:space="preserve">Energy Credit Extension Tax Credit </w:t>
            </w:r>
            <w:r w:rsidRPr="00966286">
              <w:rPr>
                <w:rFonts w:cstheme="minorHAnsi"/>
              </w:rPr>
              <w:t>(§ 48)</w:t>
            </w:r>
          </w:p>
        </w:tc>
        <w:tc>
          <w:tcPr>
            <w:tcW w:w="990" w:type="dxa"/>
            <w:tcBorders>
              <w:top w:val="single" w:sz="12" w:space="0" w:color="auto"/>
              <w:left w:val="single" w:sz="12" w:space="0" w:color="auto"/>
              <w:bottom w:val="single" w:sz="4" w:space="0" w:color="auto"/>
              <w:right w:val="single" w:sz="12" w:space="0" w:color="auto"/>
            </w:tcBorders>
            <w:shd w:val="clear" w:color="auto" w:fill="D9E2F3" w:themeFill="accent1" w:themeFillTint="33"/>
            <w:vAlign w:val="center"/>
          </w:tcPr>
          <w:p w14:paraId="4B1CE6DB" w14:textId="77777777" w:rsidR="00966286" w:rsidRPr="00966286" w:rsidRDefault="00966286" w:rsidP="00477077">
            <w:pPr>
              <w:widowControl w:val="0"/>
              <w:jc w:val="center"/>
              <w:rPr>
                <w:rFonts w:cstheme="minorHAnsi"/>
              </w:rPr>
            </w:pPr>
            <w:r w:rsidRPr="00966286">
              <w:rPr>
                <w:rFonts w:cstheme="minorHAnsi"/>
              </w:rPr>
              <w:t>Direct</w:t>
            </w:r>
          </w:p>
        </w:tc>
        <w:tc>
          <w:tcPr>
            <w:tcW w:w="2070" w:type="dxa"/>
            <w:tcBorders>
              <w:top w:val="single" w:sz="12" w:space="0" w:color="auto"/>
              <w:left w:val="single" w:sz="12" w:space="0" w:color="auto"/>
              <w:bottom w:val="single" w:sz="4" w:space="0" w:color="auto"/>
            </w:tcBorders>
            <w:shd w:val="clear" w:color="auto" w:fill="D9E2F3" w:themeFill="accent1" w:themeFillTint="33"/>
            <w:vAlign w:val="center"/>
          </w:tcPr>
          <w:p w14:paraId="2ED13DBF" w14:textId="77777777" w:rsidR="00966286" w:rsidRPr="00966286" w:rsidRDefault="00966286" w:rsidP="00477077">
            <w:pPr>
              <w:widowControl w:val="0"/>
              <w:jc w:val="center"/>
              <w:rPr>
                <w:rFonts w:cstheme="minorHAnsi"/>
              </w:rPr>
            </w:pPr>
            <w:r w:rsidRPr="00966286">
              <w:rPr>
                <w:rFonts w:cstheme="minorHAnsi"/>
              </w:rPr>
              <w:t>6%</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2C3A883A" w14:textId="77777777" w:rsidR="00966286" w:rsidRPr="00966286" w:rsidRDefault="00966286" w:rsidP="00477077">
            <w:pPr>
              <w:widowControl w:val="0"/>
              <w:jc w:val="center"/>
              <w:rPr>
                <w:rFonts w:cstheme="minorHAnsi"/>
              </w:rPr>
            </w:pPr>
            <w:r w:rsidRPr="00966286">
              <w:rPr>
                <w:rFonts w:cstheme="minorHAnsi"/>
              </w:rPr>
              <w:t>B</w:t>
            </w:r>
          </w:p>
        </w:tc>
        <w:tc>
          <w:tcPr>
            <w:tcW w:w="2160" w:type="dxa"/>
            <w:tcBorders>
              <w:top w:val="single" w:sz="12" w:space="0" w:color="auto"/>
              <w:bottom w:val="single" w:sz="4" w:space="0" w:color="auto"/>
              <w:right w:val="single" w:sz="12" w:space="0" w:color="auto"/>
            </w:tcBorders>
            <w:shd w:val="clear" w:color="auto" w:fill="D9E2F3" w:themeFill="accent1" w:themeFillTint="33"/>
            <w:vAlign w:val="center"/>
          </w:tcPr>
          <w:p w14:paraId="5C88E99E" w14:textId="77777777" w:rsidR="00966286" w:rsidRPr="00966286" w:rsidRDefault="00966286" w:rsidP="00477077">
            <w:pPr>
              <w:widowControl w:val="0"/>
              <w:jc w:val="center"/>
              <w:rPr>
                <w:rFonts w:cstheme="minorHAnsi"/>
              </w:rPr>
            </w:pPr>
            <w:r w:rsidRPr="00966286">
              <w:rPr>
                <w:rFonts w:cstheme="minorHAnsi"/>
              </w:rPr>
              <w:t>30%</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0B77365B"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D9E2F3" w:themeFill="accent1" w:themeFillTint="33"/>
            <w:vAlign w:val="center"/>
          </w:tcPr>
          <w:p w14:paraId="776D005F" w14:textId="77777777" w:rsidR="00966286" w:rsidRPr="00966286" w:rsidRDefault="00966286" w:rsidP="00477077">
            <w:pPr>
              <w:widowControl w:val="0"/>
              <w:jc w:val="center"/>
              <w:rPr>
                <w:rFonts w:cstheme="minorHAnsi"/>
              </w:rPr>
            </w:pPr>
            <w:r w:rsidRPr="00966286">
              <w:rPr>
                <w:rFonts w:cstheme="minorHAnsi"/>
              </w:rPr>
              <w:t>2% or 10%</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2BB42902"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D9E2F3" w:themeFill="accent1" w:themeFillTint="33"/>
            <w:vAlign w:val="center"/>
          </w:tcPr>
          <w:p w14:paraId="39960C2A" w14:textId="77777777" w:rsidR="00966286" w:rsidRPr="00966286" w:rsidRDefault="00966286" w:rsidP="00477077">
            <w:pPr>
              <w:widowControl w:val="0"/>
              <w:jc w:val="center"/>
              <w:rPr>
                <w:rFonts w:cstheme="minorHAnsi"/>
              </w:rPr>
            </w:pPr>
            <w:r w:rsidRPr="00966286">
              <w:rPr>
                <w:rFonts w:cstheme="minorHAnsi"/>
              </w:rPr>
              <w:t>2% or 10%</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4C5D8A50" w14:textId="77777777" w:rsidR="00966286" w:rsidRPr="00966286" w:rsidRDefault="00966286" w:rsidP="00477077">
            <w:pPr>
              <w:widowControl w:val="0"/>
              <w:jc w:val="center"/>
              <w:rPr>
                <w:rFonts w:cstheme="minorHAnsi"/>
              </w:rPr>
            </w:pPr>
            <w:r w:rsidRPr="00966286">
              <w:rPr>
                <w:rFonts w:cstheme="minorHAnsi"/>
              </w:rPr>
              <w:t>-</w:t>
            </w:r>
          </w:p>
        </w:tc>
        <w:tc>
          <w:tcPr>
            <w:tcW w:w="900" w:type="dxa"/>
            <w:tcBorders>
              <w:top w:val="single" w:sz="12" w:space="0" w:color="auto"/>
              <w:bottom w:val="single" w:sz="4" w:space="0" w:color="auto"/>
              <w:right w:val="single" w:sz="12" w:space="0" w:color="auto"/>
            </w:tcBorders>
            <w:shd w:val="clear" w:color="auto" w:fill="D9E2F3" w:themeFill="accent1" w:themeFillTint="33"/>
            <w:vAlign w:val="center"/>
          </w:tcPr>
          <w:p w14:paraId="3B8FFDD9" w14:textId="77777777" w:rsidR="00966286" w:rsidRPr="00966286" w:rsidRDefault="00966286" w:rsidP="00477077">
            <w:pPr>
              <w:widowControl w:val="0"/>
              <w:jc w:val="center"/>
              <w:rPr>
                <w:rFonts w:cstheme="minorHAnsi"/>
              </w:rPr>
            </w:pPr>
            <w:r w:rsidRPr="00966286">
              <w:rPr>
                <w:rFonts w:cstheme="minorHAnsi"/>
              </w:rPr>
              <w:t>-</w:t>
            </w:r>
          </w:p>
        </w:tc>
      </w:tr>
      <w:tr w:rsidR="00966286" w:rsidRPr="00966286" w14:paraId="795B78DB" w14:textId="77777777" w:rsidTr="00BD7FA0">
        <w:tblPrEx>
          <w:jc w:val="left"/>
        </w:tblPrEx>
        <w:trPr>
          <w:cantSplit/>
        </w:trPr>
        <w:tc>
          <w:tcPr>
            <w:tcW w:w="1620" w:type="dxa"/>
            <w:vMerge/>
            <w:tcBorders>
              <w:top w:val="nil"/>
              <w:left w:val="single" w:sz="12" w:space="0" w:color="auto"/>
              <w:bottom w:val="single" w:sz="12" w:space="0" w:color="auto"/>
              <w:right w:val="single" w:sz="12" w:space="0" w:color="auto"/>
            </w:tcBorders>
            <w:shd w:val="clear" w:color="auto" w:fill="D9E2F3" w:themeFill="accent1" w:themeFillTint="33"/>
            <w:vAlign w:val="center"/>
          </w:tcPr>
          <w:p w14:paraId="0A21D208" w14:textId="77777777" w:rsidR="00966286" w:rsidRPr="00966286" w:rsidRDefault="00966286" w:rsidP="00966286">
            <w:pPr>
              <w:widowControl w:val="0"/>
              <w:rPr>
                <w:rFonts w:cstheme="minorHAnsi"/>
                <w:b/>
                <w:bCs/>
              </w:rPr>
            </w:pPr>
          </w:p>
        </w:tc>
        <w:tc>
          <w:tcPr>
            <w:tcW w:w="9180" w:type="dxa"/>
            <w:gridSpan w:val="10"/>
            <w:tcBorders>
              <w:left w:val="single" w:sz="12" w:space="0" w:color="auto"/>
              <w:bottom w:val="single" w:sz="12" w:space="0" w:color="auto"/>
              <w:right w:val="single" w:sz="12" w:space="0" w:color="auto"/>
            </w:tcBorders>
            <w:shd w:val="clear" w:color="auto" w:fill="D9E2F3" w:themeFill="accent1" w:themeFillTint="33"/>
            <w:vAlign w:val="center"/>
          </w:tcPr>
          <w:p w14:paraId="4E833D7E"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 xml:space="preserve">Base rate is 30% if &lt;1 MW </w:t>
            </w:r>
            <w:r w:rsidRPr="00966286">
              <w:rPr>
                <w:rFonts w:cstheme="minorHAnsi"/>
                <w:i/>
                <w:iCs/>
              </w:rPr>
              <w:t>OR</w:t>
            </w:r>
            <w:r w:rsidRPr="00966286">
              <w:rPr>
                <w:rFonts w:cstheme="minorHAnsi"/>
              </w:rPr>
              <w:t xml:space="preserve"> project ≥1 MW and began construction ≤ 01/29/23 </w:t>
            </w:r>
            <w:r w:rsidRPr="00966286">
              <w:rPr>
                <w:rFonts w:cstheme="minorHAnsi"/>
                <w:i/>
                <w:iCs/>
              </w:rPr>
              <w:t>OR</w:t>
            </w:r>
            <w:r w:rsidRPr="00966286">
              <w:rPr>
                <w:rFonts w:cstheme="minorHAnsi"/>
              </w:rPr>
              <w:t xml:space="preserve"> prevailing wage met for construction + 5 years &amp; apprenticeship met during </w:t>
            </w:r>
            <w:proofErr w:type="gramStart"/>
            <w:r w:rsidRPr="00966286">
              <w:rPr>
                <w:rFonts w:cstheme="minorHAnsi"/>
              </w:rPr>
              <w:t>construction</w:t>
            </w:r>
            <w:proofErr w:type="gramEnd"/>
          </w:p>
          <w:p w14:paraId="1BDAFAA5"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 xml:space="preserve">Construction must begin prior to 01/01/25; geothermal prior to </w:t>
            </w:r>
            <w:proofErr w:type="gramStart"/>
            <w:r w:rsidRPr="00966286">
              <w:rPr>
                <w:rFonts w:cstheme="minorHAnsi"/>
              </w:rPr>
              <w:t>2035</w:t>
            </w:r>
            <w:proofErr w:type="gramEnd"/>
          </w:p>
          <w:p w14:paraId="3ACE46B0" w14:textId="10E6327C" w:rsidR="00966286" w:rsidRPr="00966286" w:rsidRDefault="00966286" w:rsidP="00672EA1">
            <w:pPr>
              <w:widowControl w:val="0"/>
              <w:numPr>
                <w:ilvl w:val="0"/>
                <w:numId w:val="22"/>
              </w:numPr>
              <w:ind w:left="288" w:hanging="288"/>
              <w:rPr>
                <w:rFonts w:cstheme="minorHAnsi"/>
              </w:rPr>
            </w:pPr>
            <w:r w:rsidRPr="00966286">
              <w:rPr>
                <w:rFonts w:cstheme="minorHAnsi"/>
              </w:rPr>
              <w:t xml:space="preserve">Same rates for standalone energy storage; capacity requirements and construction start </w:t>
            </w:r>
            <w:proofErr w:type="gramStart"/>
            <w:r w:rsidRPr="00966286">
              <w:rPr>
                <w:rFonts w:cstheme="minorHAnsi"/>
              </w:rPr>
              <w:t>appl</w:t>
            </w:r>
            <w:r w:rsidR="003B2E83">
              <w:rPr>
                <w:rFonts w:cstheme="minorHAnsi"/>
              </w:rPr>
              <w:t>ies</w:t>
            </w:r>
            <w:proofErr w:type="gramEnd"/>
          </w:p>
          <w:p w14:paraId="167A9100" w14:textId="77777777" w:rsidR="00966286" w:rsidRPr="00966286" w:rsidRDefault="00966286" w:rsidP="00672EA1">
            <w:pPr>
              <w:widowControl w:val="0"/>
              <w:numPr>
                <w:ilvl w:val="0"/>
                <w:numId w:val="22"/>
              </w:numPr>
              <w:ind w:left="288" w:hanging="288"/>
              <w:rPr>
                <w:rFonts w:cstheme="minorHAnsi"/>
                <w:i/>
                <w:iCs/>
              </w:rPr>
            </w:pPr>
            <w:r w:rsidRPr="00966286">
              <w:rPr>
                <w:rFonts w:cstheme="minorHAnsi"/>
              </w:rPr>
              <w:t xml:space="preserve">Storage connected to generation facility can be included in the facility’s tax credit or can use the standalone </w:t>
            </w:r>
            <w:proofErr w:type="gramStart"/>
            <w:r w:rsidRPr="00966286">
              <w:rPr>
                <w:rFonts w:cstheme="minorHAnsi"/>
              </w:rPr>
              <w:t>provision</w:t>
            </w:r>
            <w:proofErr w:type="gramEnd"/>
          </w:p>
          <w:p w14:paraId="77197647"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Projects ≥1 MW have separate domestic content requirements based on when construction begins (will need IRS guidance)</w:t>
            </w:r>
          </w:p>
          <w:p w14:paraId="26DB745C"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Interconnection capital costs eligible for projects ≤5 MW</w:t>
            </w:r>
          </w:p>
          <w:p w14:paraId="4C0BBCEC"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Using tax-exempt bonds reduces credit value (IRC § 45(b)(3))</w:t>
            </w:r>
          </w:p>
        </w:tc>
      </w:tr>
      <w:tr w:rsidR="00966286" w:rsidRPr="00966286" w14:paraId="3AB1459D" w14:textId="77777777" w:rsidTr="00BD7FA0">
        <w:tblPrEx>
          <w:jc w:val="left"/>
        </w:tblPrEx>
        <w:trPr>
          <w:cantSplit/>
        </w:trPr>
        <w:tc>
          <w:tcPr>
            <w:tcW w:w="1620" w:type="dxa"/>
            <w:vMerge w:val="restart"/>
            <w:tcBorders>
              <w:top w:val="single" w:sz="12" w:space="0" w:color="auto"/>
              <w:left w:val="single" w:sz="12" w:space="0" w:color="auto"/>
              <w:right w:val="single" w:sz="12" w:space="0" w:color="auto"/>
            </w:tcBorders>
            <w:shd w:val="clear" w:color="auto" w:fill="9BB7D9"/>
            <w:vAlign w:val="center"/>
          </w:tcPr>
          <w:p w14:paraId="45386291" w14:textId="77777777" w:rsidR="00966286" w:rsidRPr="00966286" w:rsidRDefault="00966286" w:rsidP="00966286">
            <w:pPr>
              <w:widowControl w:val="0"/>
              <w:rPr>
                <w:rFonts w:cstheme="minorHAnsi"/>
                <w:b/>
                <w:bCs/>
              </w:rPr>
            </w:pPr>
            <w:r w:rsidRPr="00966286">
              <w:rPr>
                <w:rFonts w:cstheme="minorHAnsi"/>
                <w:b/>
                <w:bCs/>
              </w:rPr>
              <w:t>Clean Electricity Investment Tax Credit</w:t>
            </w:r>
          </w:p>
          <w:p w14:paraId="1F2A3C01" w14:textId="77777777" w:rsidR="00966286" w:rsidRPr="00966286" w:rsidRDefault="00966286" w:rsidP="00966286">
            <w:pPr>
              <w:widowControl w:val="0"/>
              <w:rPr>
                <w:rFonts w:cstheme="minorHAnsi"/>
                <w:b/>
                <w:bCs/>
              </w:rPr>
            </w:pPr>
            <w:r w:rsidRPr="00966286">
              <w:rPr>
                <w:rFonts w:cstheme="minorHAnsi"/>
              </w:rPr>
              <w:t>(§ 48E)</w:t>
            </w:r>
          </w:p>
        </w:tc>
        <w:tc>
          <w:tcPr>
            <w:tcW w:w="990" w:type="dxa"/>
            <w:tcBorders>
              <w:top w:val="single" w:sz="12" w:space="0" w:color="auto"/>
              <w:left w:val="single" w:sz="12" w:space="0" w:color="auto"/>
              <w:bottom w:val="single" w:sz="4" w:space="0" w:color="auto"/>
              <w:right w:val="single" w:sz="12" w:space="0" w:color="auto"/>
            </w:tcBorders>
            <w:shd w:val="clear" w:color="auto" w:fill="9BB7D9"/>
            <w:vAlign w:val="center"/>
          </w:tcPr>
          <w:p w14:paraId="324CB859" w14:textId="77777777" w:rsidR="00966286" w:rsidRPr="00966286" w:rsidRDefault="00966286" w:rsidP="00477077">
            <w:pPr>
              <w:widowControl w:val="0"/>
              <w:jc w:val="center"/>
              <w:rPr>
                <w:rFonts w:cstheme="minorHAnsi"/>
              </w:rPr>
            </w:pPr>
            <w:r w:rsidRPr="00966286">
              <w:rPr>
                <w:rFonts w:cstheme="minorHAnsi"/>
              </w:rPr>
              <w:t>Direct</w:t>
            </w:r>
          </w:p>
        </w:tc>
        <w:tc>
          <w:tcPr>
            <w:tcW w:w="2070" w:type="dxa"/>
            <w:tcBorders>
              <w:top w:val="single" w:sz="12" w:space="0" w:color="auto"/>
              <w:left w:val="single" w:sz="12" w:space="0" w:color="auto"/>
              <w:bottom w:val="single" w:sz="4" w:space="0" w:color="auto"/>
            </w:tcBorders>
            <w:shd w:val="clear" w:color="auto" w:fill="9BB7D9"/>
            <w:vAlign w:val="center"/>
          </w:tcPr>
          <w:p w14:paraId="4448FAD5" w14:textId="19F00D3B" w:rsidR="00966286" w:rsidRPr="00966286" w:rsidRDefault="00966286" w:rsidP="00477077">
            <w:pPr>
              <w:widowControl w:val="0"/>
              <w:jc w:val="center"/>
              <w:rPr>
                <w:rFonts w:cstheme="minorHAnsi"/>
              </w:rPr>
            </w:pPr>
            <w:r w:rsidRPr="00966286">
              <w:rPr>
                <w:rFonts w:cstheme="minorHAnsi"/>
              </w:rPr>
              <w:t>6%</w:t>
            </w:r>
          </w:p>
        </w:tc>
        <w:tc>
          <w:tcPr>
            <w:tcW w:w="360" w:type="dxa"/>
            <w:tcBorders>
              <w:top w:val="single" w:sz="12" w:space="0" w:color="auto"/>
              <w:left w:val="single" w:sz="12" w:space="0" w:color="auto"/>
              <w:bottom w:val="single" w:sz="4" w:space="0" w:color="auto"/>
            </w:tcBorders>
            <w:shd w:val="clear" w:color="auto" w:fill="9BB7D9"/>
            <w:vAlign w:val="center"/>
          </w:tcPr>
          <w:p w14:paraId="3ECBA8AD" w14:textId="77777777" w:rsidR="00966286" w:rsidRPr="00966286" w:rsidRDefault="00966286" w:rsidP="00477077">
            <w:pPr>
              <w:widowControl w:val="0"/>
              <w:jc w:val="center"/>
              <w:rPr>
                <w:rFonts w:cstheme="minorHAnsi"/>
              </w:rPr>
            </w:pPr>
            <w:r w:rsidRPr="00966286">
              <w:rPr>
                <w:rFonts w:cstheme="minorHAnsi"/>
              </w:rPr>
              <w:t>B</w:t>
            </w:r>
          </w:p>
        </w:tc>
        <w:tc>
          <w:tcPr>
            <w:tcW w:w="2160" w:type="dxa"/>
            <w:tcBorders>
              <w:top w:val="single" w:sz="12" w:space="0" w:color="auto"/>
              <w:bottom w:val="single" w:sz="4" w:space="0" w:color="auto"/>
              <w:right w:val="single" w:sz="12" w:space="0" w:color="auto"/>
            </w:tcBorders>
            <w:shd w:val="clear" w:color="auto" w:fill="9BB7D9"/>
            <w:vAlign w:val="center"/>
          </w:tcPr>
          <w:p w14:paraId="2612D2E2" w14:textId="77777777" w:rsidR="00966286" w:rsidRPr="00966286" w:rsidRDefault="00966286" w:rsidP="00477077">
            <w:pPr>
              <w:widowControl w:val="0"/>
              <w:jc w:val="center"/>
              <w:rPr>
                <w:rFonts w:cstheme="minorHAnsi"/>
              </w:rPr>
            </w:pPr>
            <w:r w:rsidRPr="00966286">
              <w:rPr>
                <w:rFonts w:cstheme="minorHAnsi"/>
              </w:rPr>
              <w:t>30%</w:t>
            </w:r>
          </w:p>
        </w:tc>
        <w:tc>
          <w:tcPr>
            <w:tcW w:w="360" w:type="dxa"/>
            <w:tcBorders>
              <w:top w:val="single" w:sz="12" w:space="0" w:color="auto"/>
              <w:left w:val="single" w:sz="12" w:space="0" w:color="auto"/>
              <w:bottom w:val="single" w:sz="4" w:space="0" w:color="auto"/>
            </w:tcBorders>
            <w:shd w:val="clear" w:color="auto" w:fill="9BB7D9"/>
            <w:vAlign w:val="center"/>
          </w:tcPr>
          <w:p w14:paraId="3B31005E"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9BB7D9"/>
            <w:vAlign w:val="center"/>
          </w:tcPr>
          <w:p w14:paraId="61E7EEF0" w14:textId="77777777" w:rsidR="00966286" w:rsidRPr="00966286" w:rsidRDefault="00966286" w:rsidP="00477077">
            <w:pPr>
              <w:widowControl w:val="0"/>
              <w:jc w:val="center"/>
              <w:rPr>
                <w:rFonts w:cstheme="minorHAnsi"/>
              </w:rPr>
            </w:pPr>
            <w:r w:rsidRPr="00966286">
              <w:rPr>
                <w:rFonts w:cstheme="minorHAnsi"/>
              </w:rPr>
              <w:t>2%</w:t>
            </w:r>
          </w:p>
        </w:tc>
        <w:tc>
          <w:tcPr>
            <w:tcW w:w="360" w:type="dxa"/>
            <w:tcBorders>
              <w:top w:val="single" w:sz="12" w:space="0" w:color="auto"/>
              <w:left w:val="single" w:sz="12" w:space="0" w:color="auto"/>
              <w:bottom w:val="single" w:sz="4" w:space="0" w:color="auto"/>
            </w:tcBorders>
            <w:shd w:val="clear" w:color="auto" w:fill="9BB7D9"/>
            <w:vAlign w:val="center"/>
          </w:tcPr>
          <w:p w14:paraId="19C65065" w14:textId="77777777" w:rsidR="00966286" w:rsidRPr="00966286" w:rsidRDefault="00966286" w:rsidP="00477077">
            <w:pPr>
              <w:widowControl w:val="0"/>
              <w:jc w:val="center"/>
              <w:rPr>
                <w:rFonts w:cstheme="minorHAnsi"/>
              </w:rPr>
            </w:pPr>
            <w:r w:rsidRPr="00966286">
              <w:rPr>
                <w:rFonts w:cstheme="minorHAnsi"/>
              </w:rPr>
              <w:t>B</w:t>
            </w:r>
          </w:p>
        </w:tc>
        <w:tc>
          <w:tcPr>
            <w:tcW w:w="810" w:type="dxa"/>
            <w:tcBorders>
              <w:top w:val="single" w:sz="12" w:space="0" w:color="auto"/>
              <w:bottom w:val="single" w:sz="4" w:space="0" w:color="auto"/>
              <w:right w:val="single" w:sz="12" w:space="0" w:color="auto"/>
            </w:tcBorders>
            <w:shd w:val="clear" w:color="auto" w:fill="9BB7D9"/>
            <w:vAlign w:val="center"/>
          </w:tcPr>
          <w:p w14:paraId="6806F90C" w14:textId="77777777" w:rsidR="00966286" w:rsidRPr="00966286" w:rsidRDefault="00966286" w:rsidP="00477077">
            <w:pPr>
              <w:widowControl w:val="0"/>
              <w:jc w:val="center"/>
              <w:rPr>
                <w:rFonts w:cstheme="minorHAnsi"/>
              </w:rPr>
            </w:pPr>
            <w:r w:rsidRPr="00966286">
              <w:rPr>
                <w:rFonts w:cstheme="minorHAnsi"/>
              </w:rPr>
              <w:t>2%</w:t>
            </w:r>
          </w:p>
        </w:tc>
        <w:tc>
          <w:tcPr>
            <w:tcW w:w="360" w:type="dxa"/>
            <w:tcBorders>
              <w:top w:val="single" w:sz="12" w:space="0" w:color="auto"/>
              <w:left w:val="single" w:sz="12" w:space="0" w:color="auto"/>
              <w:bottom w:val="single" w:sz="4" w:space="0" w:color="auto"/>
            </w:tcBorders>
            <w:shd w:val="clear" w:color="auto" w:fill="9BB7D9"/>
            <w:vAlign w:val="center"/>
          </w:tcPr>
          <w:p w14:paraId="6E8D30B3" w14:textId="575D1692" w:rsidR="00966286" w:rsidRPr="00966286" w:rsidRDefault="0002032B" w:rsidP="00477077">
            <w:pPr>
              <w:widowControl w:val="0"/>
              <w:jc w:val="center"/>
              <w:rPr>
                <w:rFonts w:cstheme="minorHAnsi"/>
              </w:rPr>
            </w:pPr>
            <w:r>
              <w:rPr>
                <w:rFonts w:cstheme="minorHAnsi"/>
              </w:rPr>
              <w:t>B</w:t>
            </w:r>
          </w:p>
        </w:tc>
        <w:tc>
          <w:tcPr>
            <w:tcW w:w="900" w:type="dxa"/>
            <w:tcBorders>
              <w:top w:val="single" w:sz="12" w:space="0" w:color="auto"/>
              <w:bottom w:val="single" w:sz="4" w:space="0" w:color="auto"/>
              <w:right w:val="single" w:sz="12" w:space="0" w:color="auto"/>
            </w:tcBorders>
            <w:shd w:val="clear" w:color="auto" w:fill="9BB7D9"/>
            <w:vAlign w:val="center"/>
          </w:tcPr>
          <w:p w14:paraId="39924015" w14:textId="7CA07F97" w:rsidR="00966286" w:rsidRPr="00966286" w:rsidRDefault="000E5759" w:rsidP="00477077">
            <w:pPr>
              <w:widowControl w:val="0"/>
              <w:jc w:val="center"/>
              <w:rPr>
                <w:rFonts w:cstheme="minorHAnsi"/>
              </w:rPr>
            </w:pPr>
            <w:r>
              <w:rPr>
                <w:rFonts w:cstheme="minorHAnsi"/>
              </w:rPr>
              <w:t xml:space="preserve">10% </w:t>
            </w:r>
            <w:r w:rsidR="008D77FB">
              <w:rPr>
                <w:rFonts w:cstheme="minorHAnsi"/>
              </w:rPr>
              <w:t>&amp;</w:t>
            </w:r>
            <w:r>
              <w:rPr>
                <w:rFonts w:cstheme="minorHAnsi"/>
              </w:rPr>
              <w:t xml:space="preserve"> 20%</w:t>
            </w:r>
          </w:p>
        </w:tc>
      </w:tr>
      <w:tr w:rsidR="00966286" w:rsidRPr="00966286" w14:paraId="3DA10411" w14:textId="77777777" w:rsidTr="00BD7FA0">
        <w:tblPrEx>
          <w:jc w:val="left"/>
        </w:tblPrEx>
        <w:trPr>
          <w:cantSplit/>
        </w:trPr>
        <w:tc>
          <w:tcPr>
            <w:tcW w:w="1620" w:type="dxa"/>
            <w:vMerge/>
            <w:tcBorders>
              <w:left w:val="single" w:sz="12" w:space="0" w:color="auto"/>
              <w:bottom w:val="single" w:sz="12" w:space="0" w:color="auto"/>
              <w:right w:val="single" w:sz="12" w:space="0" w:color="auto"/>
            </w:tcBorders>
            <w:shd w:val="clear" w:color="auto" w:fill="9BB7D9"/>
            <w:vAlign w:val="center"/>
          </w:tcPr>
          <w:p w14:paraId="3DC865A9" w14:textId="77777777" w:rsidR="00966286" w:rsidRPr="00966286" w:rsidRDefault="00966286" w:rsidP="00966286">
            <w:pPr>
              <w:widowControl w:val="0"/>
              <w:rPr>
                <w:rFonts w:cstheme="minorHAnsi"/>
                <w:b/>
                <w:bCs/>
              </w:rPr>
            </w:pPr>
          </w:p>
        </w:tc>
        <w:tc>
          <w:tcPr>
            <w:tcW w:w="9180" w:type="dxa"/>
            <w:gridSpan w:val="10"/>
            <w:tcBorders>
              <w:left w:val="single" w:sz="12" w:space="0" w:color="auto"/>
              <w:bottom w:val="single" w:sz="12" w:space="0" w:color="auto"/>
              <w:right w:val="single" w:sz="12" w:space="0" w:color="auto"/>
            </w:tcBorders>
            <w:shd w:val="clear" w:color="auto" w:fill="9BB7D9"/>
            <w:vAlign w:val="center"/>
          </w:tcPr>
          <w:p w14:paraId="4BF0E520"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 xml:space="preserve">≤Zero emissions required, except for storage technology and thermal storage </w:t>
            </w:r>
            <w:proofErr w:type="gramStart"/>
            <w:r w:rsidRPr="00966286">
              <w:rPr>
                <w:rFonts w:cstheme="minorHAnsi"/>
              </w:rPr>
              <w:t>properties</w:t>
            </w:r>
            <w:proofErr w:type="gramEnd"/>
          </w:p>
          <w:p w14:paraId="7392E991"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 xml:space="preserve">Base rate is 30% if &lt;1 MW </w:t>
            </w:r>
            <w:r w:rsidRPr="00966286">
              <w:rPr>
                <w:rFonts w:cstheme="minorHAnsi"/>
                <w:i/>
                <w:iCs/>
              </w:rPr>
              <w:t>OR</w:t>
            </w:r>
            <w:r w:rsidRPr="00966286">
              <w:rPr>
                <w:rFonts w:cstheme="minorHAnsi"/>
              </w:rPr>
              <w:t xml:space="preserve"> project ≥1 MW and began construction ≤ 01/29/23 </w:t>
            </w:r>
            <w:r w:rsidRPr="00966286">
              <w:rPr>
                <w:rFonts w:cstheme="minorHAnsi"/>
                <w:i/>
                <w:iCs/>
              </w:rPr>
              <w:t>OR</w:t>
            </w:r>
            <w:r w:rsidRPr="00966286">
              <w:rPr>
                <w:rFonts w:cstheme="minorHAnsi"/>
              </w:rPr>
              <w:t xml:space="preserve"> prevailing wage met for construction + 5 years &amp; apprenticeship met during </w:t>
            </w:r>
            <w:proofErr w:type="gramStart"/>
            <w:r w:rsidRPr="00966286">
              <w:rPr>
                <w:rFonts w:cstheme="minorHAnsi"/>
              </w:rPr>
              <w:t>construction</w:t>
            </w:r>
            <w:proofErr w:type="gramEnd"/>
          </w:p>
          <w:p w14:paraId="661763EC" w14:textId="77777777" w:rsidR="00966286" w:rsidRPr="00966286" w:rsidRDefault="00966286" w:rsidP="00672EA1">
            <w:pPr>
              <w:widowControl w:val="0"/>
              <w:numPr>
                <w:ilvl w:val="0"/>
                <w:numId w:val="22"/>
              </w:numPr>
              <w:ind w:left="288" w:hanging="288"/>
              <w:rPr>
                <w:rFonts w:cstheme="minorHAnsi"/>
              </w:rPr>
            </w:pPr>
            <w:r w:rsidRPr="00966286">
              <w:rPr>
                <w:rFonts w:cstheme="minorHAnsi"/>
              </w:rPr>
              <w:t xml:space="preserve">Placed in service after </w:t>
            </w:r>
            <w:proofErr w:type="gramStart"/>
            <w:r w:rsidRPr="00966286">
              <w:rPr>
                <w:rFonts w:cstheme="minorHAnsi"/>
              </w:rPr>
              <w:t>2024</w:t>
            </w:r>
            <w:proofErr w:type="gramEnd"/>
          </w:p>
          <w:p w14:paraId="2A614581" w14:textId="0F6A846B" w:rsidR="00966286" w:rsidRPr="00966286" w:rsidRDefault="00966286" w:rsidP="00672EA1">
            <w:pPr>
              <w:widowControl w:val="0"/>
              <w:numPr>
                <w:ilvl w:val="0"/>
                <w:numId w:val="29"/>
              </w:numPr>
              <w:ind w:left="288" w:hanging="288"/>
              <w:rPr>
                <w:rFonts w:cstheme="minorHAnsi"/>
                <w:i/>
                <w:iCs/>
              </w:rPr>
            </w:pPr>
            <w:r w:rsidRPr="00966286">
              <w:rPr>
                <w:rFonts w:cstheme="minorHAnsi"/>
              </w:rPr>
              <w:t xml:space="preserve">Solar &amp; wind generation of &lt;5 MW </w:t>
            </w:r>
            <w:r w:rsidR="00540820">
              <w:rPr>
                <w:rFonts w:cstheme="minorHAnsi"/>
              </w:rPr>
              <w:t xml:space="preserve">only </w:t>
            </w:r>
            <w:r w:rsidRPr="00966286">
              <w:rPr>
                <w:rFonts w:cstheme="minorHAnsi"/>
              </w:rPr>
              <w:t>have Environmental Justice (EJ) bonuses</w:t>
            </w:r>
            <w:r w:rsidR="007538F9">
              <w:rPr>
                <w:rFonts w:cstheme="minorHAnsi"/>
              </w:rPr>
              <w:t>:</w:t>
            </w:r>
          </w:p>
          <w:p w14:paraId="3A17AE66" w14:textId="77777777" w:rsidR="003A71C7" w:rsidRPr="00CE5964" w:rsidRDefault="003A71C7" w:rsidP="003A71C7">
            <w:pPr>
              <w:widowControl w:val="0"/>
              <w:numPr>
                <w:ilvl w:val="0"/>
                <w:numId w:val="31"/>
              </w:numPr>
              <w:ind w:left="792"/>
              <w:rPr>
                <w:rFonts w:cstheme="minorHAnsi"/>
              </w:rPr>
            </w:pPr>
            <w:r w:rsidRPr="00966286">
              <w:rPr>
                <w:rFonts w:cstheme="minorHAnsi"/>
              </w:rPr>
              <w:t xml:space="preserve">10% </w:t>
            </w:r>
            <w:r>
              <w:rPr>
                <w:rFonts w:cstheme="minorHAnsi"/>
              </w:rPr>
              <w:t xml:space="preserve">bonus </w:t>
            </w:r>
            <w:r w:rsidRPr="00966286">
              <w:rPr>
                <w:rFonts w:cstheme="minorHAnsi"/>
              </w:rPr>
              <w:t xml:space="preserve">if facility connected with a </w:t>
            </w:r>
            <w:hyperlink r:id="rId30" w:anchor="faq-What-does-low-income-community-mean-for-Inflation-Reduction-Act-tax-credits?" w:history="1">
              <w:r w:rsidRPr="00CE5964">
                <w:rPr>
                  <w:rStyle w:val="Hyperlink"/>
                  <w:rFonts w:cstheme="minorHAnsi"/>
                </w:rPr>
                <w:t>low-income community</w:t>
              </w:r>
            </w:hyperlink>
          </w:p>
          <w:p w14:paraId="398A4018" w14:textId="77777777" w:rsidR="003A71C7" w:rsidRPr="00CE5964" w:rsidRDefault="003A71C7" w:rsidP="003A71C7">
            <w:pPr>
              <w:widowControl w:val="0"/>
              <w:numPr>
                <w:ilvl w:val="0"/>
                <w:numId w:val="31"/>
              </w:numPr>
              <w:ind w:left="792"/>
              <w:rPr>
                <w:rFonts w:cstheme="minorHAnsi"/>
              </w:rPr>
            </w:pPr>
            <w:r w:rsidRPr="00CE5964">
              <w:rPr>
                <w:rFonts w:cstheme="minorHAnsi"/>
              </w:rPr>
              <w:t xml:space="preserve">20% bonus if facility connected with </w:t>
            </w:r>
            <w:hyperlink r:id="rId31" w:anchor="faq-What-does-low-income-residential-building-mean-for-Inflation-Reduction-Act-tax-credits?" w:history="1">
              <w:r w:rsidRPr="00CE5964">
                <w:rPr>
                  <w:rStyle w:val="Hyperlink"/>
                  <w:rFonts w:cstheme="minorHAnsi"/>
                </w:rPr>
                <w:t>low-income residential building</w:t>
              </w:r>
            </w:hyperlink>
            <w:r w:rsidRPr="00CE5964">
              <w:rPr>
                <w:rFonts w:cstheme="minorHAnsi"/>
              </w:rPr>
              <w:t xml:space="preserve"> or </w:t>
            </w:r>
            <w:hyperlink r:id="rId32" w:anchor="faq-What-does-low-income-economic-benefit-mean-for-Inflation-Reduction-Act-tax-credits?" w:history="1">
              <w:r w:rsidRPr="00CE5964">
                <w:rPr>
                  <w:rStyle w:val="Hyperlink"/>
                  <w:rFonts w:cstheme="minorHAnsi"/>
                </w:rPr>
                <w:t>low-income economic benefit</w:t>
              </w:r>
            </w:hyperlink>
            <w:r w:rsidRPr="00CE5964">
              <w:rPr>
                <w:rFonts w:cstheme="minorHAnsi"/>
              </w:rPr>
              <w:t xml:space="preserve"> project</w:t>
            </w:r>
          </w:p>
          <w:p w14:paraId="4ED6DA98" w14:textId="77777777" w:rsidR="00966286" w:rsidRPr="00966286" w:rsidRDefault="00966286" w:rsidP="00672EA1">
            <w:pPr>
              <w:widowControl w:val="0"/>
              <w:numPr>
                <w:ilvl w:val="0"/>
                <w:numId w:val="31"/>
              </w:numPr>
              <w:ind w:left="792"/>
              <w:rPr>
                <w:rFonts w:cstheme="minorHAnsi"/>
              </w:rPr>
            </w:pPr>
            <w:r w:rsidRPr="00966286">
              <w:rPr>
                <w:rFonts w:cstheme="minorHAnsi"/>
              </w:rPr>
              <w:t xml:space="preserve">Credits allocated by Secretary of Treasury to qualify; calendar year capacity limit </w:t>
            </w:r>
            <w:proofErr w:type="gramStart"/>
            <w:r w:rsidRPr="00966286">
              <w:rPr>
                <w:rFonts w:cstheme="minorHAnsi"/>
              </w:rPr>
              <w:t>applies</w:t>
            </w:r>
            <w:proofErr w:type="gramEnd"/>
          </w:p>
          <w:p w14:paraId="238CC87F" w14:textId="77777777" w:rsidR="00966286" w:rsidRPr="00966286" w:rsidRDefault="00966286" w:rsidP="00672EA1">
            <w:pPr>
              <w:widowControl w:val="0"/>
              <w:numPr>
                <w:ilvl w:val="0"/>
                <w:numId w:val="30"/>
              </w:numPr>
              <w:ind w:left="288" w:hanging="288"/>
              <w:rPr>
                <w:rFonts w:cstheme="minorHAnsi"/>
              </w:rPr>
            </w:pPr>
            <w:r w:rsidRPr="00966286">
              <w:rPr>
                <w:rFonts w:cstheme="minorHAnsi"/>
              </w:rPr>
              <w:t xml:space="preserve">Standalone storage not eligible for EJ bonus </w:t>
            </w:r>
          </w:p>
          <w:p w14:paraId="6AF46A5B" w14:textId="77777777" w:rsidR="00966286" w:rsidRPr="00966286" w:rsidRDefault="00966286" w:rsidP="00672EA1">
            <w:pPr>
              <w:widowControl w:val="0"/>
              <w:numPr>
                <w:ilvl w:val="0"/>
                <w:numId w:val="30"/>
              </w:numPr>
              <w:ind w:left="288" w:hanging="288"/>
              <w:rPr>
                <w:rFonts w:cstheme="minorHAnsi"/>
              </w:rPr>
            </w:pPr>
            <w:r w:rsidRPr="00966286">
              <w:rPr>
                <w:rFonts w:cstheme="minorHAnsi"/>
              </w:rPr>
              <w:t>Credit value when taken is 100% year 1, 75% year 2, 50% year 3, then 0%</w:t>
            </w:r>
          </w:p>
        </w:tc>
      </w:tr>
      <w:tr w:rsidR="00966286" w:rsidRPr="00966286" w14:paraId="1B144072" w14:textId="77777777" w:rsidTr="00BD7FA0">
        <w:tblPrEx>
          <w:jc w:val="left"/>
        </w:tblPrEx>
        <w:trPr>
          <w:cantSplit/>
        </w:trPr>
        <w:tc>
          <w:tcPr>
            <w:tcW w:w="1620" w:type="dxa"/>
            <w:vMerge w:val="restar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525E64D" w14:textId="77777777" w:rsidR="00966286" w:rsidRPr="00966286" w:rsidRDefault="00966286" w:rsidP="00966286">
            <w:pPr>
              <w:widowControl w:val="0"/>
              <w:rPr>
                <w:rFonts w:cstheme="minorHAnsi"/>
                <w:b/>
                <w:bCs/>
              </w:rPr>
            </w:pPr>
            <w:r w:rsidRPr="00966286">
              <w:rPr>
                <w:rFonts w:cstheme="minorHAnsi"/>
                <w:b/>
                <w:bCs/>
              </w:rPr>
              <w:t xml:space="preserve">Energy Efficient Building Tax Deduction </w:t>
            </w:r>
          </w:p>
          <w:p w14:paraId="7A0107EA" w14:textId="77777777" w:rsidR="00966286" w:rsidRPr="00966286" w:rsidRDefault="00966286" w:rsidP="00966286">
            <w:pPr>
              <w:widowControl w:val="0"/>
              <w:rPr>
                <w:rFonts w:cstheme="minorHAnsi"/>
              </w:rPr>
            </w:pPr>
            <w:r w:rsidRPr="00966286">
              <w:rPr>
                <w:rFonts w:cstheme="minorHAnsi"/>
              </w:rPr>
              <w:t xml:space="preserve">(§ 179D) </w:t>
            </w:r>
          </w:p>
        </w:tc>
        <w:tc>
          <w:tcPr>
            <w:tcW w:w="990" w:type="dxa"/>
            <w:tcBorders>
              <w:top w:val="single" w:sz="12" w:space="0" w:color="auto"/>
              <w:left w:val="single" w:sz="12" w:space="0" w:color="auto"/>
              <w:bottom w:val="single" w:sz="4" w:space="0" w:color="auto"/>
              <w:right w:val="single" w:sz="12" w:space="0" w:color="auto"/>
            </w:tcBorders>
            <w:shd w:val="clear" w:color="auto" w:fill="D9E2F3" w:themeFill="accent1" w:themeFillTint="33"/>
            <w:vAlign w:val="center"/>
          </w:tcPr>
          <w:p w14:paraId="14998416" w14:textId="77777777" w:rsidR="00966286" w:rsidRPr="00966286" w:rsidRDefault="00966286" w:rsidP="00477077">
            <w:pPr>
              <w:widowControl w:val="0"/>
              <w:jc w:val="center"/>
              <w:rPr>
                <w:rFonts w:cstheme="minorHAnsi"/>
              </w:rPr>
            </w:pPr>
            <w:r w:rsidRPr="00966286">
              <w:rPr>
                <w:rFonts w:cstheme="minorHAnsi"/>
              </w:rPr>
              <w:t>Transfer</w:t>
            </w:r>
          </w:p>
        </w:tc>
        <w:tc>
          <w:tcPr>
            <w:tcW w:w="2070" w:type="dxa"/>
            <w:tcBorders>
              <w:top w:val="single" w:sz="12" w:space="0" w:color="auto"/>
              <w:left w:val="single" w:sz="12" w:space="0" w:color="auto"/>
              <w:bottom w:val="single" w:sz="4" w:space="0" w:color="auto"/>
            </w:tcBorders>
            <w:shd w:val="clear" w:color="auto" w:fill="D9E2F3" w:themeFill="accent1" w:themeFillTint="33"/>
            <w:vAlign w:val="center"/>
          </w:tcPr>
          <w:p w14:paraId="606CFF01" w14:textId="77777777" w:rsidR="00966286" w:rsidRPr="00966286" w:rsidRDefault="00966286" w:rsidP="00477077">
            <w:pPr>
              <w:widowControl w:val="0"/>
              <w:jc w:val="center"/>
              <w:rPr>
                <w:rFonts w:cstheme="minorHAnsi"/>
              </w:rPr>
            </w:pPr>
            <w:r w:rsidRPr="00966286">
              <w:rPr>
                <w:rFonts w:cstheme="minorHAnsi"/>
              </w:rPr>
              <w:t xml:space="preserve">50¢/SF for </w:t>
            </w:r>
            <w:proofErr w:type="gramStart"/>
            <w:r w:rsidRPr="00966286">
              <w:rPr>
                <w:rFonts w:cstheme="minorHAnsi"/>
              </w:rPr>
              <w:t>minimum;</w:t>
            </w:r>
            <w:proofErr w:type="gramEnd"/>
          </w:p>
          <w:p w14:paraId="507FC059" w14:textId="77777777" w:rsidR="00966286" w:rsidRPr="00966286" w:rsidRDefault="00966286" w:rsidP="00477077">
            <w:pPr>
              <w:widowControl w:val="0"/>
              <w:jc w:val="center"/>
              <w:rPr>
                <w:rFonts w:cstheme="minorHAnsi"/>
              </w:rPr>
            </w:pPr>
            <w:r w:rsidRPr="00966286">
              <w:rPr>
                <w:rFonts w:cstheme="minorHAnsi"/>
              </w:rPr>
              <w:t>2¢/SF each % point above minimum; $1.00/SF maximum</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50030141" w14:textId="77777777" w:rsidR="00966286" w:rsidRPr="00966286" w:rsidRDefault="00966286" w:rsidP="00477077">
            <w:pPr>
              <w:widowControl w:val="0"/>
              <w:jc w:val="center"/>
              <w:rPr>
                <w:rFonts w:cstheme="minorHAnsi"/>
              </w:rPr>
            </w:pPr>
            <w:r w:rsidRPr="00966286">
              <w:rPr>
                <w:rFonts w:cstheme="minorHAnsi"/>
              </w:rPr>
              <w:t>B</w:t>
            </w:r>
          </w:p>
        </w:tc>
        <w:tc>
          <w:tcPr>
            <w:tcW w:w="2160" w:type="dxa"/>
            <w:tcBorders>
              <w:top w:val="single" w:sz="12" w:space="0" w:color="auto"/>
              <w:bottom w:val="single" w:sz="4" w:space="0" w:color="auto"/>
              <w:right w:val="single" w:sz="12" w:space="0" w:color="auto"/>
            </w:tcBorders>
            <w:shd w:val="clear" w:color="auto" w:fill="D9E2F3" w:themeFill="accent1" w:themeFillTint="33"/>
            <w:vAlign w:val="center"/>
          </w:tcPr>
          <w:p w14:paraId="1E53FC2C" w14:textId="77777777" w:rsidR="00966286" w:rsidRPr="00966286" w:rsidRDefault="00966286" w:rsidP="00477077">
            <w:pPr>
              <w:widowControl w:val="0"/>
              <w:jc w:val="center"/>
              <w:rPr>
                <w:rFonts w:cstheme="minorHAnsi"/>
              </w:rPr>
            </w:pPr>
            <w:r w:rsidRPr="00966286">
              <w:rPr>
                <w:rFonts w:cstheme="minorHAnsi"/>
              </w:rPr>
              <w:t xml:space="preserve">$2.50/SF for </w:t>
            </w:r>
            <w:proofErr w:type="gramStart"/>
            <w:r w:rsidRPr="00966286">
              <w:rPr>
                <w:rFonts w:cstheme="minorHAnsi"/>
              </w:rPr>
              <w:t>minimum;</w:t>
            </w:r>
            <w:proofErr w:type="gramEnd"/>
          </w:p>
          <w:p w14:paraId="16FDEA7F" w14:textId="1231C21A" w:rsidR="00966286" w:rsidRPr="00966286" w:rsidRDefault="00966286" w:rsidP="00477077">
            <w:pPr>
              <w:widowControl w:val="0"/>
              <w:jc w:val="center"/>
              <w:rPr>
                <w:rFonts w:cstheme="minorHAnsi"/>
              </w:rPr>
            </w:pPr>
            <w:r w:rsidRPr="00966286">
              <w:rPr>
                <w:rFonts w:cstheme="minorHAnsi"/>
              </w:rPr>
              <w:t>11¢/SF each % point above minimum; $5.00/SF maximum</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2619BAB1" w14:textId="77777777" w:rsidR="00966286" w:rsidRPr="00966286" w:rsidRDefault="00966286" w:rsidP="00477077">
            <w:pPr>
              <w:widowControl w:val="0"/>
              <w:jc w:val="center"/>
              <w:rPr>
                <w:rFonts w:cstheme="minorHAnsi"/>
              </w:rPr>
            </w:pPr>
            <w:r w:rsidRPr="00966286">
              <w:rPr>
                <w:rFonts w:cstheme="minorHAnsi"/>
              </w:rPr>
              <w:t>-</w:t>
            </w:r>
          </w:p>
        </w:tc>
        <w:tc>
          <w:tcPr>
            <w:tcW w:w="810" w:type="dxa"/>
            <w:tcBorders>
              <w:top w:val="single" w:sz="12" w:space="0" w:color="auto"/>
              <w:bottom w:val="single" w:sz="4" w:space="0" w:color="auto"/>
              <w:right w:val="single" w:sz="12" w:space="0" w:color="auto"/>
            </w:tcBorders>
            <w:shd w:val="clear" w:color="auto" w:fill="D9E2F3" w:themeFill="accent1" w:themeFillTint="33"/>
            <w:vAlign w:val="center"/>
          </w:tcPr>
          <w:p w14:paraId="441BE6C0"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7D703467" w14:textId="77777777" w:rsidR="00966286" w:rsidRPr="00966286" w:rsidRDefault="00966286" w:rsidP="00477077">
            <w:pPr>
              <w:widowControl w:val="0"/>
              <w:jc w:val="center"/>
              <w:rPr>
                <w:rFonts w:cstheme="minorHAnsi"/>
              </w:rPr>
            </w:pPr>
            <w:r w:rsidRPr="00966286">
              <w:rPr>
                <w:rFonts w:cstheme="minorHAnsi"/>
              </w:rPr>
              <w:t>-</w:t>
            </w:r>
          </w:p>
        </w:tc>
        <w:tc>
          <w:tcPr>
            <w:tcW w:w="810" w:type="dxa"/>
            <w:tcBorders>
              <w:top w:val="single" w:sz="12" w:space="0" w:color="auto"/>
              <w:bottom w:val="single" w:sz="4" w:space="0" w:color="auto"/>
              <w:right w:val="single" w:sz="12" w:space="0" w:color="auto"/>
            </w:tcBorders>
            <w:shd w:val="clear" w:color="auto" w:fill="D9E2F3" w:themeFill="accent1" w:themeFillTint="33"/>
            <w:vAlign w:val="center"/>
          </w:tcPr>
          <w:p w14:paraId="54975FC2" w14:textId="77777777" w:rsidR="00966286" w:rsidRPr="00966286" w:rsidRDefault="00966286" w:rsidP="00477077">
            <w:pPr>
              <w:widowControl w:val="0"/>
              <w:jc w:val="center"/>
              <w:rPr>
                <w:rFonts w:cstheme="minorHAnsi"/>
              </w:rPr>
            </w:pPr>
            <w:r w:rsidRPr="00966286">
              <w:rPr>
                <w:rFonts w:cstheme="minorHAnsi"/>
              </w:rPr>
              <w:t>-</w:t>
            </w:r>
          </w:p>
        </w:tc>
        <w:tc>
          <w:tcPr>
            <w:tcW w:w="360" w:type="dxa"/>
            <w:tcBorders>
              <w:top w:val="single" w:sz="12" w:space="0" w:color="auto"/>
              <w:left w:val="single" w:sz="12" w:space="0" w:color="auto"/>
              <w:bottom w:val="single" w:sz="4" w:space="0" w:color="auto"/>
            </w:tcBorders>
            <w:shd w:val="clear" w:color="auto" w:fill="D9E2F3" w:themeFill="accent1" w:themeFillTint="33"/>
            <w:vAlign w:val="center"/>
          </w:tcPr>
          <w:p w14:paraId="4E41778F" w14:textId="77777777" w:rsidR="00966286" w:rsidRPr="00966286" w:rsidRDefault="00966286" w:rsidP="00477077">
            <w:pPr>
              <w:widowControl w:val="0"/>
              <w:jc w:val="center"/>
              <w:rPr>
                <w:rFonts w:cstheme="minorHAnsi"/>
              </w:rPr>
            </w:pPr>
            <w:r w:rsidRPr="00966286">
              <w:rPr>
                <w:rFonts w:cstheme="minorHAnsi"/>
              </w:rPr>
              <w:t>-</w:t>
            </w:r>
          </w:p>
        </w:tc>
        <w:tc>
          <w:tcPr>
            <w:tcW w:w="900" w:type="dxa"/>
            <w:tcBorders>
              <w:top w:val="single" w:sz="12" w:space="0" w:color="auto"/>
              <w:bottom w:val="single" w:sz="4" w:space="0" w:color="auto"/>
              <w:right w:val="single" w:sz="12" w:space="0" w:color="auto"/>
            </w:tcBorders>
            <w:shd w:val="clear" w:color="auto" w:fill="D9E2F3" w:themeFill="accent1" w:themeFillTint="33"/>
            <w:vAlign w:val="center"/>
          </w:tcPr>
          <w:p w14:paraId="409479DF" w14:textId="77777777" w:rsidR="00966286" w:rsidRPr="00966286" w:rsidRDefault="00966286" w:rsidP="00477077">
            <w:pPr>
              <w:widowControl w:val="0"/>
              <w:jc w:val="center"/>
              <w:rPr>
                <w:rFonts w:cstheme="minorHAnsi"/>
              </w:rPr>
            </w:pPr>
            <w:r w:rsidRPr="00966286">
              <w:rPr>
                <w:rFonts w:cstheme="minorHAnsi"/>
              </w:rPr>
              <w:t>-</w:t>
            </w:r>
          </w:p>
        </w:tc>
      </w:tr>
      <w:tr w:rsidR="00966286" w:rsidRPr="00966286" w14:paraId="1EFF38B7" w14:textId="77777777" w:rsidTr="00BD7FA0">
        <w:tblPrEx>
          <w:jc w:val="left"/>
        </w:tblPrEx>
        <w:trPr>
          <w:cantSplit/>
        </w:trPr>
        <w:tc>
          <w:tcPr>
            <w:tcW w:w="1620" w:type="dxa"/>
            <w:vMerge/>
            <w:tcBorders>
              <w:top w:val="nil"/>
              <w:left w:val="single" w:sz="12" w:space="0" w:color="auto"/>
              <w:bottom w:val="single" w:sz="12" w:space="0" w:color="auto"/>
              <w:right w:val="single" w:sz="12" w:space="0" w:color="auto"/>
            </w:tcBorders>
            <w:shd w:val="clear" w:color="auto" w:fill="D9E2F3" w:themeFill="accent1" w:themeFillTint="33"/>
            <w:vAlign w:val="center"/>
          </w:tcPr>
          <w:p w14:paraId="72F9267C" w14:textId="77777777" w:rsidR="00966286" w:rsidRPr="00966286" w:rsidRDefault="00966286" w:rsidP="00966286">
            <w:pPr>
              <w:widowControl w:val="0"/>
              <w:rPr>
                <w:rFonts w:cstheme="minorHAnsi"/>
                <w:b/>
                <w:bCs/>
              </w:rPr>
            </w:pPr>
          </w:p>
        </w:tc>
        <w:tc>
          <w:tcPr>
            <w:tcW w:w="9180" w:type="dxa"/>
            <w:gridSpan w:val="10"/>
            <w:tcBorders>
              <w:left w:val="single" w:sz="12" w:space="0" w:color="auto"/>
              <w:bottom w:val="single" w:sz="12" w:space="0" w:color="auto"/>
              <w:right w:val="single" w:sz="12" w:space="0" w:color="auto"/>
            </w:tcBorders>
            <w:shd w:val="clear" w:color="auto" w:fill="D9E2F3" w:themeFill="accent1" w:themeFillTint="33"/>
            <w:vAlign w:val="center"/>
          </w:tcPr>
          <w:p w14:paraId="5B46516A"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Minimum 25% increase in efficiency </w:t>
            </w:r>
            <w:proofErr w:type="gramStart"/>
            <w:r w:rsidRPr="00966286">
              <w:rPr>
                <w:rFonts w:cstheme="minorHAnsi"/>
              </w:rPr>
              <w:t>required</w:t>
            </w:r>
            <w:proofErr w:type="gramEnd"/>
          </w:p>
          <w:p w14:paraId="33AE3EC7"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Placed in service beginning 01/01/23; Expires </w:t>
            </w:r>
            <w:proofErr w:type="gramStart"/>
            <w:r w:rsidRPr="00966286">
              <w:rPr>
                <w:rFonts w:cstheme="minorHAnsi"/>
              </w:rPr>
              <w:t>12/31/31</w:t>
            </w:r>
            <w:proofErr w:type="gramEnd"/>
          </w:p>
          <w:p w14:paraId="3EAB2804"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Government buildings </w:t>
            </w:r>
            <w:proofErr w:type="gramStart"/>
            <w:r w:rsidRPr="00966286">
              <w:rPr>
                <w:rFonts w:cstheme="minorHAnsi"/>
              </w:rPr>
              <w:t>qualify</w:t>
            </w:r>
            <w:proofErr w:type="gramEnd"/>
          </w:p>
          <w:p w14:paraId="472B057B"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Applies to new construction and </w:t>
            </w:r>
            <w:proofErr w:type="gramStart"/>
            <w:r w:rsidRPr="00966286">
              <w:rPr>
                <w:rFonts w:cstheme="minorHAnsi"/>
              </w:rPr>
              <w:t>retrofits</w:t>
            </w:r>
            <w:proofErr w:type="gramEnd"/>
          </w:p>
          <w:p w14:paraId="587E2C54"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Allocation letter required for credit transfer to project </w:t>
            </w:r>
            <w:proofErr w:type="gramStart"/>
            <w:r w:rsidRPr="00966286">
              <w:rPr>
                <w:rFonts w:cstheme="minorHAnsi"/>
              </w:rPr>
              <w:t>designer</w:t>
            </w:r>
            <w:proofErr w:type="gramEnd"/>
          </w:p>
          <w:p w14:paraId="7B777AE3"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Energy efficiency standards per </w:t>
            </w:r>
            <w:hyperlink r:id="rId33" w:history="1">
              <w:r w:rsidRPr="00966286">
                <w:rPr>
                  <w:rStyle w:val="Hyperlink"/>
                  <w:rFonts w:cstheme="minorHAnsi"/>
                </w:rPr>
                <w:t>IRS Bulletin 2023-1</w:t>
              </w:r>
            </w:hyperlink>
            <w:r w:rsidRPr="00966286">
              <w:rPr>
                <w:rFonts w:cstheme="minorHAnsi"/>
              </w:rPr>
              <w:t xml:space="preserve"> </w:t>
            </w:r>
            <w:proofErr w:type="gramStart"/>
            <w:r w:rsidRPr="00966286">
              <w:rPr>
                <w:rFonts w:cstheme="minorHAnsi"/>
              </w:rPr>
              <w:t>required</w:t>
            </w:r>
            <w:proofErr w:type="gramEnd"/>
          </w:p>
          <w:p w14:paraId="31B257A4"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Requires inspection, verification, and certification by a licensed engineer or </w:t>
            </w:r>
            <w:proofErr w:type="gramStart"/>
            <w:r w:rsidRPr="00966286">
              <w:rPr>
                <w:rFonts w:cstheme="minorHAnsi"/>
              </w:rPr>
              <w:t>contractor</w:t>
            </w:r>
            <w:proofErr w:type="gramEnd"/>
          </w:p>
          <w:p w14:paraId="21D90E1D" w14:textId="77777777" w:rsidR="00966286" w:rsidRPr="00966286" w:rsidRDefault="00966286" w:rsidP="00672EA1">
            <w:pPr>
              <w:widowControl w:val="0"/>
              <w:numPr>
                <w:ilvl w:val="0"/>
                <w:numId w:val="32"/>
              </w:numPr>
              <w:ind w:left="288" w:hanging="288"/>
              <w:rPr>
                <w:rFonts w:cstheme="minorHAnsi"/>
              </w:rPr>
            </w:pPr>
            <w:r w:rsidRPr="00966286">
              <w:rPr>
                <w:rFonts w:cstheme="minorHAnsi"/>
              </w:rPr>
              <w:t xml:space="preserve">US DOE </w:t>
            </w:r>
            <w:hyperlink r:id="rId34" w:history="1">
              <w:r w:rsidRPr="00966286">
                <w:rPr>
                  <w:rStyle w:val="Hyperlink"/>
                  <w:rFonts w:cstheme="minorHAnsi"/>
                </w:rPr>
                <w:t>qualified software</w:t>
              </w:r>
            </w:hyperlink>
            <w:r w:rsidRPr="00966286">
              <w:rPr>
                <w:rFonts w:cstheme="minorHAnsi"/>
              </w:rPr>
              <w:t xml:space="preserve"> required for efficiency calculations</w:t>
            </w:r>
          </w:p>
        </w:tc>
      </w:tr>
      <w:tr w:rsidR="00966286" w:rsidRPr="00966286" w14:paraId="7CD6CD19" w14:textId="77777777" w:rsidTr="00BD7FA0">
        <w:tblPrEx>
          <w:jc w:val="left"/>
        </w:tblPrEx>
        <w:trPr>
          <w:cantSplit/>
        </w:trPr>
        <w:tc>
          <w:tcPr>
            <w:tcW w:w="10800" w:type="dxa"/>
            <w:gridSpan w:val="11"/>
            <w:tcBorders>
              <w:top w:val="single" w:sz="12" w:space="0" w:color="auto"/>
              <w:left w:val="nil"/>
              <w:bottom w:val="nil"/>
              <w:right w:val="nil"/>
            </w:tcBorders>
            <w:shd w:val="clear" w:color="auto" w:fill="auto"/>
            <w:vAlign w:val="center"/>
          </w:tcPr>
          <w:p w14:paraId="402F9794" w14:textId="1A0EBC5B" w:rsidR="00966286" w:rsidRPr="00966286" w:rsidRDefault="00B23F98" w:rsidP="00966286">
            <w:pPr>
              <w:widowControl w:val="0"/>
              <w:rPr>
                <w:rFonts w:cstheme="minorHAnsi"/>
              </w:rPr>
            </w:pPr>
            <w:r w:rsidRPr="00B23F98">
              <w:rPr>
                <w:rFonts w:cstheme="minorHAnsi"/>
              </w:rPr>
              <w:t>*Reflects 2023 value. Value adjusted annually. See IRS’ IRA website.</w:t>
            </w:r>
          </w:p>
        </w:tc>
      </w:tr>
    </w:tbl>
    <w:p w14:paraId="78EB7216" w14:textId="77777777" w:rsidR="002A5E8B" w:rsidRPr="002A5E8B" w:rsidRDefault="002A5E8B" w:rsidP="002A5E8B">
      <w:pPr>
        <w:widowControl w:val="0"/>
        <w:rPr>
          <w:rFonts w:cstheme="minorHAnsi"/>
          <w:color w:val="174088"/>
          <w:sz w:val="20"/>
          <w:szCs w:val="20"/>
        </w:rPr>
      </w:pPr>
    </w:p>
    <w:sectPr w:rsidR="002A5E8B" w:rsidRPr="002A5E8B" w:rsidSect="00BF7F43">
      <w:headerReference w:type="default" r:id="rId35"/>
      <w:footerReference w:type="default" r:id="rId36"/>
      <w:headerReference w:type="first" r:id="rId37"/>
      <w:pgSz w:w="12240" w:h="15840" w:code="1"/>
      <w:pgMar w:top="144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5E74" w14:textId="77777777" w:rsidR="00680AA1" w:rsidRDefault="00680AA1" w:rsidP="003965DE">
      <w:pPr>
        <w:spacing w:line="240" w:lineRule="auto"/>
      </w:pPr>
      <w:r>
        <w:separator/>
      </w:r>
    </w:p>
  </w:endnote>
  <w:endnote w:type="continuationSeparator" w:id="0">
    <w:p w14:paraId="182A868E" w14:textId="77777777" w:rsidR="00680AA1" w:rsidRDefault="00680AA1" w:rsidP="003965DE">
      <w:pPr>
        <w:spacing w:line="240" w:lineRule="auto"/>
      </w:pPr>
      <w:r>
        <w:continuationSeparator/>
      </w:r>
    </w:p>
  </w:endnote>
  <w:endnote w:type="continuationNotice" w:id="1">
    <w:p w14:paraId="5D5615D0" w14:textId="77777777" w:rsidR="00680AA1" w:rsidRDefault="00680A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881A" w14:textId="7001CC66" w:rsidR="00FD6C2A" w:rsidRPr="004C1F28" w:rsidRDefault="004C1F28" w:rsidP="004C1F28">
    <w:pPr>
      <w:pStyle w:val="Footer"/>
      <w:tabs>
        <w:tab w:val="clear" w:pos="4680"/>
        <w:tab w:val="clear" w:pos="9360"/>
        <w:tab w:val="left" w:pos="720"/>
      </w:tabs>
      <w:jc w:val="center"/>
      <w:rPr>
        <w:sz w:val="20"/>
        <w:szCs w:val="20"/>
      </w:rPr>
    </w:pPr>
    <w:r w:rsidRPr="004C1F28">
      <w:rPr>
        <w:sz w:val="20"/>
        <w:szCs w:val="20"/>
      </w:rPr>
      <w:t>VLCT –</w:t>
    </w:r>
    <w:r w:rsidR="006C2D46">
      <w:rPr>
        <w:sz w:val="20"/>
        <w:szCs w:val="20"/>
      </w:rPr>
      <w:t xml:space="preserve"> </w:t>
    </w:r>
    <w:r w:rsidR="00D9781A">
      <w:rPr>
        <w:sz w:val="20"/>
        <w:szCs w:val="20"/>
      </w:rPr>
      <w:t xml:space="preserve">Inflation Reduction Act Tax Credits </w:t>
    </w:r>
    <w:r w:rsidR="00D72E40">
      <w:rPr>
        <w:sz w:val="20"/>
        <w:szCs w:val="20"/>
      </w:rPr>
      <w:t xml:space="preserve">and Deductions </w:t>
    </w:r>
    <w:r w:rsidR="00D9781A">
      <w:rPr>
        <w:sz w:val="20"/>
        <w:szCs w:val="20"/>
      </w:rPr>
      <w:t>for Municipalities</w:t>
    </w:r>
    <w:r w:rsidR="005A2853">
      <w:rPr>
        <w:sz w:val="20"/>
        <w:szCs w:val="20"/>
      </w:rPr>
      <w:t xml:space="preserve"> </w:t>
    </w:r>
    <w:r w:rsidR="001A0473">
      <w:rPr>
        <w:sz w:val="20"/>
        <w:szCs w:val="20"/>
      </w:rPr>
      <w:tab/>
    </w:r>
    <w:r w:rsidRPr="004C1F28">
      <w:rPr>
        <w:sz w:val="20"/>
        <w:szCs w:val="20"/>
      </w:rPr>
      <w:t>(</w:t>
    </w:r>
    <w:r w:rsidR="008C152C">
      <w:rPr>
        <w:sz w:val="20"/>
        <w:szCs w:val="20"/>
      </w:rPr>
      <w:t>March</w:t>
    </w:r>
    <w:r w:rsidR="00D9781A">
      <w:rPr>
        <w:sz w:val="20"/>
        <w:szCs w:val="20"/>
      </w:rPr>
      <w:t xml:space="preserve"> 2023</w:t>
    </w:r>
    <w:r w:rsidRPr="004C1F28">
      <w:rPr>
        <w:sz w:val="20"/>
        <w:szCs w:val="20"/>
      </w:rPr>
      <w:t>)</w:t>
    </w:r>
    <w:r w:rsidRPr="004C1F28">
      <w:rPr>
        <w:sz w:val="20"/>
        <w:szCs w:val="20"/>
      </w:rPr>
      <w:tab/>
    </w:r>
    <w:r>
      <w:rPr>
        <w:sz w:val="20"/>
        <w:szCs w:val="20"/>
      </w:rPr>
      <w:tab/>
    </w:r>
    <w:r w:rsidR="00553551">
      <w:rPr>
        <w:sz w:val="20"/>
        <w:szCs w:val="20"/>
      </w:rPr>
      <w:tab/>
    </w:r>
    <w:r w:rsidRPr="004C1F28">
      <w:rPr>
        <w:sz w:val="20"/>
        <w:szCs w:val="20"/>
      </w:rPr>
      <w:tab/>
    </w:r>
    <w:sdt>
      <w:sdtPr>
        <w:rPr>
          <w:sz w:val="20"/>
          <w:szCs w:val="20"/>
        </w:rPr>
        <w:id w:val="-491726728"/>
        <w:docPartObj>
          <w:docPartGallery w:val="Page Numbers (Bottom of Page)"/>
          <w:docPartUnique/>
        </w:docPartObj>
      </w:sdtPr>
      <w:sdtEndPr>
        <w:rPr>
          <w:noProof/>
        </w:rPr>
      </w:sdtEndPr>
      <w:sdtContent>
        <w:r w:rsidR="00FD6C2A" w:rsidRPr="004C1F28">
          <w:rPr>
            <w:sz w:val="20"/>
            <w:szCs w:val="20"/>
          </w:rPr>
          <w:fldChar w:fldCharType="begin"/>
        </w:r>
        <w:r w:rsidR="00FD6C2A" w:rsidRPr="004C1F28">
          <w:rPr>
            <w:sz w:val="20"/>
            <w:szCs w:val="20"/>
          </w:rPr>
          <w:instrText xml:space="preserve"> PAGE   \* MERGEFORMAT </w:instrText>
        </w:r>
        <w:r w:rsidR="00FD6C2A" w:rsidRPr="004C1F28">
          <w:rPr>
            <w:sz w:val="20"/>
            <w:szCs w:val="20"/>
          </w:rPr>
          <w:fldChar w:fldCharType="separate"/>
        </w:r>
        <w:r w:rsidR="00FD6C2A" w:rsidRPr="004C1F28">
          <w:rPr>
            <w:noProof/>
            <w:sz w:val="20"/>
            <w:szCs w:val="20"/>
          </w:rPr>
          <w:t>2</w:t>
        </w:r>
        <w:r w:rsidR="00FD6C2A" w:rsidRPr="004C1F28">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C925" w14:textId="77777777" w:rsidR="00680AA1" w:rsidRDefault="00680AA1" w:rsidP="003965DE">
      <w:pPr>
        <w:spacing w:line="240" w:lineRule="auto"/>
      </w:pPr>
      <w:r>
        <w:separator/>
      </w:r>
    </w:p>
  </w:footnote>
  <w:footnote w:type="continuationSeparator" w:id="0">
    <w:p w14:paraId="67FD8BC7" w14:textId="77777777" w:rsidR="00680AA1" w:rsidRDefault="00680AA1" w:rsidP="003965DE">
      <w:pPr>
        <w:spacing w:line="240" w:lineRule="auto"/>
      </w:pPr>
      <w:r>
        <w:continuationSeparator/>
      </w:r>
    </w:p>
  </w:footnote>
  <w:footnote w:type="continuationNotice" w:id="1">
    <w:p w14:paraId="5C2FCD7A" w14:textId="77777777" w:rsidR="00680AA1" w:rsidRDefault="00680A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E404" w14:textId="696D43D7" w:rsidR="000A225B" w:rsidRDefault="000A225B">
    <w:pPr>
      <w:pStyle w:val="Header"/>
    </w:pPr>
    <w:r>
      <w:rPr>
        <w:noProof/>
        <w:sz w:val="24"/>
        <w:szCs w:val="24"/>
      </w:rPr>
      <w:drawing>
        <wp:anchor distT="0" distB="0" distL="114300" distR="114300" simplePos="0" relativeHeight="251658240" behindDoc="0" locked="0" layoutInCell="1" allowOverlap="1" wp14:anchorId="1FD0839F" wp14:editId="51B668A2">
          <wp:simplePos x="463296" y="463296"/>
          <wp:positionH relativeFrom="column">
            <wp:align>right</wp:align>
          </wp:positionH>
          <wp:positionV relativeFrom="page">
            <wp:posOffset>274320</wp:posOffset>
          </wp:positionV>
          <wp:extent cx="292608" cy="420624"/>
          <wp:effectExtent l="0" t="0" r="0" b="0"/>
          <wp:wrapTopAndBottom/>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292608" cy="4206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44F" w14:textId="3240A684" w:rsidR="00351CCB" w:rsidRDefault="00351CCB" w:rsidP="003722C5">
    <w:pPr>
      <w:pStyle w:val="Header"/>
    </w:pPr>
    <w:r>
      <w:rPr>
        <w:b/>
        <w:bCs/>
        <w:noProof/>
        <w:sz w:val="36"/>
        <w:szCs w:val="36"/>
      </w:rPr>
      <w:drawing>
        <wp:anchor distT="0" distB="0" distL="114300" distR="114300" simplePos="0" relativeHeight="251658241" behindDoc="0" locked="0" layoutInCell="1" allowOverlap="1" wp14:anchorId="2A7F76A6" wp14:editId="0F4EC6F3">
          <wp:simplePos x="0" y="0"/>
          <wp:positionH relativeFrom="column">
            <wp:align>center</wp:align>
          </wp:positionH>
          <wp:positionV relativeFrom="page">
            <wp:posOffset>182880</wp:posOffset>
          </wp:positionV>
          <wp:extent cx="2249424" cy="868680"/>
          <wp:effectExtent l="0" t="0" r="0" b="7620"/>
          <wp:wrapTopAndBottom/>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424" cy="868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E9B"/>
    <w:multiLevelType w:val="hybridMultilevel"/>
    <w:tmpl w:val="11C0368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81BF7"/>
    <w:multiLevelType w:val="multilevel"/>
    <w:tmpl w:val="2C7C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E7FBE"/>
    <w:multiLevelType w:val="hybridMultilevel"/>
    <w:tmpl w:val="BDC47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5CC8"/>
    <w:multiLevelType w:val="hybridMultilevel"/>
    <w:tmpl w:val="6E5A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6046E"/>
    <w:multiLevelType w:val="hybridMultilevel"/>
    <w:tmpl w:val="4B0A2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2276B"/>
    <w:multiLevelType w:val="hybridMultilevel"/>
    <w:tmpl w:val="C088B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157F0"/>
    <w:multiLevelType w:val="hybridMultilevel"/>
    <w:tmpl w:val="F26CD07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F35B69"/>
    <w:multiLevelType w:val="hybridMultilevel"/>
    <w:tmpl w:val="308A65B2"/>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15:restartNumberingAfterBreak="0">
    <w:nsid w:val="162C4E34"/>
    <w:multiLevelType w:val="hybridMultilevel"/>
    <w:tmpl w:val="7E723C1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863103"/>
    <w:multiLevelType w:val="hybridMultilevel"/>
    <w:tmpl w:val="17185E0E"/>
    <w:lvl w:ilvl="0" w:tplc="2D06A2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46B28"/>
    <w:multiLevelType w:val="hybridMultilevel"/>
    <w:tmpl w:val="D40A0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190A"/>
    <w:multiLevelType w:val="hybridMultilevel"/>
    <w:tmpl w:val="AA841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956AB"/>
    <w:multiLevelType w:val="hybridMultilevel"/>
    <w:tmpl w:val="5CACB9A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017B3F"/>
    <w:multiLevelType w:val="hybridMultilevel"/>
    <w:tmpl w:val="E5EC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05E8B"/>
    <w:multiLevelType w:val="hybridMultilevel"/>
    <w:tmpl w:val="1BB2C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3004E"/>
    <w:multiLevelType w:val="hybridMultilevel"/>
    <w:tmpl w:val="C360D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B3388"/>
    <w:multiLevelType w:val="hybridMultilevel"/>
    <w:tmpl w:val="6A4EB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F4F82"/>
    <w:multiLevelType w:val="multilevel"/>
    <w:tmpl w:val="E00E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F44EC"/>
    <w:multiLevelType w:val="hybridMultilevel"/>
    <w:tmpl w:val="9B92B602"/>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9" w15:restartNumberingAfterBreak="0">
    <w:nsid w:val="3C6110B0"/>
    <w:multiLevelType w:val="multilevel"/>
    <w:tmpl w:val="B2A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55D96"/>
    <w:multiLevelType w:val="hybridMultilevel"/>
    <w:tmpl w:val="37B6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34EA8"/>
    <w:multiLevelType w:val="hybridMultilevel"/>
    <w:tmpl w:val="A5309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5ACD"/>
    <w:multiLevelType w:val="hybridMultilevel"/>
    <w:tmpl w:val="A5FE85FA"/>
    <w:lvl w:ilvl="0" w:tplc="649ABDAA">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56CE5AC1"/>
    <w:multiLevelType w:val="hybridMultilevel"/>
    <w:tmpl w:val="B8ECC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60B99"/>
    <w:multiLevelType w:val="hybridMultilevel"/>
    <w:tmpl w:val="0E2AD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61A"/>
    <w:multiLevelType w:val="hybridMultilevel"/>
    <w:tmpl w:val="048A89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FB5A59"/>
    <w:multiLevelType w:val="hybridMultilevel"/>
    <w:tmpl w:val="C32AD64C"/>
    <w:lvl w:ilvl="0" w:tplc="FFFFFFFF">
      <w:start w:val="1"/>
      <w:numFmt w:val="lowerLetter"/>
      <w:lvlText w:val="%1)"/>
      <w:lvlJc w:val="left"/>
      <w:pPr>
        <w:ind w:left="774" w:hanging="360"/>
      </w:pPr>
    </w:lvl>
    <w:lvl w:ilvl="1" w:tplc="04090017">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7" w15:restartNumberingAfterBreak="0">
    <w:nsid w:val="6AAA5759"/>
    <w:multiLevelType w:val="hybridMultilevel"/>
    <w:tmpl w:val="24869FF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8" w15:restartNumberingAfterBreak="0">
    <w:nsid w:val="6B137577"/>
    <w:multiLevelType w:val="hybridMultilevel"/>
    <w:tmpl w:val="2416B2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97A76"/>
    <w:multiLevelType w:val="hybridMultilevel"/>
    <w:tmpl w:val="72AEE26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5631FF"/>
    <w:multiLevelType w:val="hybridMultilevel"/>
    <w:tmpl w:val="990CD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410ED"/>
    <w:multiLevelType w:val="hybridMultilevel"/>
    <w:tmpl w:val="4404D77C"/>
    <w:lvl w:ilvl="0" w:tplc="0409000F">
      <w:start w:val="1"/>
      <w:numFmt w:val="decimal"/>
      <w:lvlText w:val="%1."/>
      <w:lvlJc w:val="left"/>
      <w:pPr>
        <w:ind w:left="720" w:hanging="360"/>
      </w:pPr>
      <w:rPr>
        <w:rFonts w:hint="default"/>
      </w:rPr>
    </w:lvl>
    <w:lvl w:ilvl="1" w:tplc="669A7C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759E9"/>
    <w:multiLevelType w:val="hybridMultilevel"/>
    <w:tmpl w:val="1652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82FE5"/>
    <w:multiLevelType w:val="hybridMultilevel"/>
    <w:tmpl w:val="5AB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75F18"/>
    <w:multiLevelType w:val="hybridMultilevel"/>
    <w:tmpl w:val="DF6CE19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13945128">
    <w:abstractNumId w:val="31"/>
  </w:num>
  <w:num w:numId="2" w16cid:durableId="1980916516">
    <w:abstractNumId w:val="18"/>
  </w:num>
  <w:num w:numId="3" w16cid:durableId="1676686689">
    <w:abstractNumId w:val="7"/>
  </w:num>
  <w:num w:numId="4" w16cid:durableId="1094009926">
    <w:abstractNumId w:val="26"/>
  </w:num>
  <w:num w:numId="5" w16cid:durableId="1633754919">
    <w:abstractNumId w:val="17"/>
  </w:num>
  <w:num w:numId="6" w16cid:durableId="966659924">
    <w:abstractNumId w:val="27"/>
  </w:num>
  <w:num w:numId="7" w16cid:durableId="1022821539">
    <w:abstractNumId w:val="3"/>
  </w:num>
  <w:num w:numId="8" w16cid:durableId="1159075610">
    <w:abstractNumId w:val="32"/>
  </w:num>
  <w:num w:numId="9" w16cid:durableId="1047947422">
    <w:abstractNumId w:val="9"/>
  </w:num>
  <w:num w:numId="10" w16cid:durableId="203712304">
    <w:abstractNumId w:val="33"/>
  </w:num>
  <w:num w:numId="11" w16cid:durableId="1298145397">
    <w:abstractNumId w:val="21"/>
  </w:num>
  <w:num w:numId="12" w16cid:durableId="474953723">
    <w:abstractNumId w:val="20"/>
  </w:num>
  <w:num w:numId="13" w16cid:durableId="1833716715">
    <w:abstractNumId w:val="15"/>
  </w:num>
  <w:num w:numId="14" w16cid:durableId="735399696">
    <w:abstractNumId w:val="1"/>
  </w:num>
  <w:num w:numId="15" w16cid:durableId="1590655963">
    <w:abstractNumId w:val="19"/>
  </w:num>
  <w:num w:numId="16" w16cid:durableId="1984500501">
    <w:abstractNumId w:val="13"/>
  </w:num>
  <w:num w:numId="17" w16cid:durableId="1151798196">
    <w:abstractNumId w:val="11"/>
  </w:num>
  <w:num w:numId="18" w16cid:durableId="1587881981">
    <w:abstractNumId w:val="24"/>
  </w:num>
  <w:num w:numId="19" w16cid:durableId="1053653635">
    <w:abstractNumId w:val="16"/>
  </w:num>
  <w:num w:numId="20" w16cid:durableId="83263201">
    <w:abstractNumId w:val="5"/>
  </w:num>
  <w:num w:numId="21" w16cid:durableId="259459954">
    <w:abstractNumId w:val="23"/>
  </w:num>
  <w:num w:numId="22" w16cid:durableId="125199137">
    <w:abstractNumId w:val="14"/>
  </w:num>
  <w:num w:numId="23" w16cid:durableId="626083994">
    <w:abstractNumId w:val="28"/>
  </w:num>
  <w:num w:numId="24" w16cid:durableId="264190515">
    <w:abstractNumId w:val="2"/>
  </w:num>
  <w:num w:numId="25" w16cid:durableId="1869753448">
    <w:abstractNumId w:val="29"/>
  </w:num>
  <w:num w:numId="26" w16cid:durableId="961964457">
    <w:abstractNumId w:val="10"/>
  </w:num>
  <w:num w:numId="27" w16cid:durableId="992176194">
    <w:abstractNumId w:val="4"/>
  </w:num>
  <w:num w:numId="28" w16cid:durableId="2043433636">
    <w:abstractNumId w:val="34"/>
  </w:num>
  <w:num w:numId="29" w16cid:durableId="1157498287">
    <w:abstractNumId w:val="25"/>
  </w:num>
  <w:num w:numId="30" w16cid:durableId="1092236444">
    <w:abstractNumId w:val="0"/>
  </w:num>
  <w:num w:numId="31" w16cid:durableId="132213478">
    <w:abstractNumId w:val="6"/>
  </w:num>
  <w:num w:numId="32" w16cid:durableId="145976843">
    <w:abstractNumId w:val="30"/>
  </w:num>
  <w:num w:numId="33" w16cid:durableId="1925646392">
    <w:abstractNumId w:val="12"/>
  </w:num>
  <w:num w:numId="34" w16cid:durableId="1945067216">
    <w:abstractNumId w:val="8"/>
  </w:num>
  <w:num w:numId="35" w16cid:durableId="6168410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1"/>
    <w:rsid w:val="00000748"/>
    <w:rsid w:val="00000AC0"/>
    <w:rsid w:val="000040C6"/>
    <w:rsid w:val="00005B23"/>
    <w:rsid w:val="00006313"/>
    <w:rsid w:val="0000666E"/>
    <w:rsid w:val="00010421"/>
    <w:rsid w:val="000108F2"/>
    <w:rsid w:val="000114DE"/>
    <w:rsid w:val="00012C4E"/>
    <w:rsid w:val="0001389D"/>
    <w:rsid w:val="00013A7A"/>
    <w:rsid w:val="00013E8B"/>
    <w:rsid w:val="00014934"/>
    <w:rsid w:val="00014EF6"/>
    <w:rsid w:val="0001671B"/>
    <w:rsid w:val="0002032B"/>
    <w:rsid w:val="000207E4"/>
    <w:rsid w:val="00020E7A"/>
    <w:rsid w:val="00031A01"/>
    <w:rsid w:val="00032288"/>
    <w:rsid w:val="0003231F"/>
    <w:rsid w:val="0003290F"/>
    <w:rsid w:val="00034348"/>
    <w:rsid w:val="000359E0"/>
    <w:rsid w:val="0003601D"/>
    <w:rsid w:val="0004037A"/>
    <w:rsid w:val="00040A51"/>
    <w:rsid w:val="00041571"/>
    <w:rsid w:val="00041A2D"/>
    <w:rsid w:val="00042C4B"/>
    <w:rsid w:val="00042F9C"/>
    <w:rsid w:val="000445E6"/>
    <w:rsid w:val="00044828"/>
    <w:rsid w:val="00044CA7"/>
    <w:rsid w:val="00044CF7"/>
    <w:rsid w:val="00045096"/>
    <w:rsid w:val="0004549D"/>
    <w:rsid w:val="00046B28"/>
    <w:rsid w:val="00051769"/>
    <w:rsid w:val="00052559"/>
    <w:rsid w:val="00052CAD"/>
    <w:rsid w:val="0005337B"/>
    <w:rsid w:val="000538C2"/>
    <w:rsid w:val="00055F83"/>
    <w:rsid w:val="00057208"/>
    <w:rsid w:val="000622D0"/>
    <w:rsid w:val="000625D7"/>
    <w:rsid w:val="00062F5A"/>
    <w:rsid w:val="00066DC0"/>
    <w:rsid w:val="00070C36"/>
    <w:rsid w:val="00071D81"/>
    <w:rsid w:val="00074EA9"/>
    <w:rsid w:val="00076CC9"/>
    <w:rsid w:val="000771EB"/>
    <w:rsid w:val="00077770"/>
    <w:rsid w:val="00081475"/>
    <w:rsid w:val="000816AC"/>
    <w:rsid w:val="0008488F"/>
    <w:rsid w:val="00085238"/>
    <w:rsid w:val="00085925"/>
    <w:rsid w:val="00085C4C"/>
    <w:rsid w:val="00086EFF"/>
    <w:rsid w:val="00091940"/>
    <w:rsid w:val="00091C42"/>
    <w:rsid w:val="00092A03"/>
    <w:rsid w:val="000937CF"/>
    <w:rsid w:val="00093AC1"/>
    <w:rsid w:val="0009590B"/>
    <w:rsid w:val="00097C7D"/>
    <w:rsid w:val="00097F7E"/>
    <w:rsid w:val="000A00B9"/>
    <w:rsid w:val="000A0F6F"/>
    <w:rsid w:val="000A119A"/>
    <w:rsid w:val="000A225B"/>
    <w:rsid w:val="000A2BC1"/>
    <w:rsid w:val="000A3347"/>
    <w:rsid w:val="000A414B"/>
    <w:rsid w:val="000A447C"/>
    <w:rsid w:val="000A4FDC"/>
    <w:rsid w:val="000A60AF"/>
    <w:rsid w:val="000A6207"/>
    <w:rsid w:val="000B064F"/>
    <w:rsid w:val="000B140C"/>
    <w:rsid w:val="000B42FE"/>
    <w:rsid w:val="000B4F61"/>
    <w:rsid w:val="000B500D"/>
    <w:rsid w:val="000B66FA"/>
    <w:rsid w:val="000B68A6"/>
    <w:rsid w:val="000C2698"/>
    <w:rsid w:val="000C4938"/>
    <w:rsid w:val="000C51D1"/>
    <w:rsid w:val="000C55E9"/>
    <w:rsid w:val="000C7C50"/>
    <w:rsid w:val="000D081B"/>
    <w:rsid w:val="000D2931"/>
    <w:rsid w:val="000D4FCE"/>
    <w:rsid w:val="000D5DA6"/>
    <w:rsid w:val="000E0663"/>
    <w:rsid w:val="000E07C4"/>
    <w:rsid w:val="000E1F90"/>
    <w:rsid w:val="000E2A7D"/>
    <w:rsid w:val="000E4153"/>
    <w:rsid w:val="000E47A8"/>
    <w:rsid w:val="000E5759"/>
    <w:rsid w:val="000E6990"/>
    <w:rsid w:val="000E76ED"/>
    <w:rsid w:val="000F0164"/>
    <w:rsid w:val="000F21B3"/>
    <w:rsid w:val="000F3830"/>
    <w:rsid w:val="000F437D"/>
    <w:rsid w:val="000F55A1"/>
    <w:rsid w:val="000F784D"/>
    <w:rsid w:val="00101827"/>
    <w:rsid w:val="00103B37"/>
    <w:rsid w:val="00103EF6"/>
    <w:rsid w:val="0010486A"/>
    <w:rsid w:val="001115CA"/>
    <w:rsid w:val="00112185"/>
    <w:rsid w:val="00112363"/>
    <w:rsid w:val="00113E9F"/>
    <w:rsid w:val="00117B2C"/>
    <w:rsid w:val="00117B2E"/>
    <w:rsid w:val="00120C91"/>
    <w:rsid w:val="00121E4B"/>
    <w:rsid w:val="00124F03"/>
    <w:rsid w:val="00130D95"/>
    <w:rsid w:val="00133EDB"/>
    <w:rsid w:val="00135016"/>
    <w:rsid w:val="001352B9"/>
    <w:rsid w:val="00135C81"/>
    <w:rsid w:val="0013696D"/>
    <w:rsid w:val="00136DE5"/>
    <w:rsid w:val="00137E54"/>
    <w:rsid w:val="00142C68"/>
    <w:rsid w:val="00146795"/>
    <w:rsid w:val="0015048A"/>
    <w:rsid w:val="00151963"/>
    <w:rsid w:val="001528A8"/>
    <w:rsid w:val="0015439A"/>
    <w:rsid w:val="001546FB"/>
    <w:rsid w:val="0015606B"/>
    <w:rsid w:val="00162CCB"/>
    <w:rsid w:val="00163CB9"/>
    <w:rsid w:val="001656D3"/>
    <w:rsid w:val="001657D6"/>
    <w:rsid w:val="00165F87"/>
    <w:rsid w:val="0017219B"/>
    <w:rsid w:val="0017224E"/>
    <w:rsid w:val="0017375E"/>
    <w:rsid w:val="0017487A"/>
    <w:rsid w:val="00175A3E"/>
    <w:rsid w:val="001770F0"/>
    <w:rsid w:val="00181199"/>
    <w:rsid w:val="00181343"/>
    <w:rsid w:val="00182A72"/>
    <w:rsid w:val="00182B8C"/>
    <w:rsid w:val="0018461E"/>
    <w:rsid w:val="001848DD"/>
    <w:rsid w:val="001851F9"/>
    <w:rsid w:val="00185E5E"/>
    <w:rsid w:val="001868FE"/>
    <w:rsid w:val="001872EB"/>
    <w:rsid w:val="0019114B"/>
    <w:rsid w:val="001923FD"/>
    <w:rsid w:val="00193067"/>
    <w:rsid w:val="001A0473"/>
    <w:rsid w:val="001A14D0"/>
    <w:rsid w:val="001A1961"/>
    <w:rsid w:val="001A3409"/>
    <w:rsid w:val="001A5105"/>
    <w:rsid w:val="001A58BE"/>
    <w:rsid w:val="001A596A"/>
    <w:rsid w:val="001A77C5"/>
    <w:rsid w:val="001A7BFB"/>
    <w:rsid w:val="001B0520"/>
    <w:rsid w:val="001B0B75"/>
    <w:rsid w:val="001B0FA5"/>
    <w:rsid w:val="001B185D"/>
    <w:rsid w:val="001B1D06"/>
    <w:rsid w:val="001B48DF"/>
    <w:rsid w:val="001B4C3A"/>
    <w:rsid w:val="001B66D8"/>
    <w:rsid w:val="001B6779"/>
    <w:rsid w:val="001B75EA"/>
    <w:rsid w:val="001C07AE"/>
    <w:rsid w:val="001C08BC"/>
    <w:rsid w:val="001C11EF"/>
    <w:rsid w:val="001C1706"/>
    <w:rsid w:val="001C1747"/>
    <w:rsid w:val="001C18C3"/>
    <w:rsid w:val="001C38CB"/>
    <w:rsid w:val="001C7A4C"/>
    <w:rsid w:val="001C7ACB"/>
    <w:rsid w:val="001D1330"/>
    <w:rsid w:val="001D1505"/>
    <w:rsid w:val="001D1C06"/>
    <w:rsid w:val="001D2DB6"/>
    <w:rsid w:val="001D357E"/>
    <w:rsid w:val="001D40BF"/>
    <w:rsid w:val="001D648F"/>
    <w:rsid w:val="001D7178"/>
    <w:rsid w:val="001E1848"/>
    <w:rsid w:val="001E1A15"/>
    <w:rsid w:val="001E2B3B"/>
    <w:rsid w:val="001E3849"/>
    <w:rsid w:val="001E3F44"/>
    <w:rsid w:val="001E4277"/>
    <w:rsid w:val="001E5254"/>
    <w:rsid w:val="001E5FAE"/>
    <w:rsid w:val="001E6A27"/>
    <w:rsid w:val="001F0114"/>
    <w:rsid w:val="001F1A10"/>
    <w:rsid w:val="001F322F"/>
    <w:rsid w:val="001F4327"/>
    <w:rsid w:val="001F4AD4"/>
    <w:rsid w:val="001F51CE"/>
    <w:rsid w:val="001F62FA"/>
    <w:rsid w:val="001F70A9"/>
    <w:rsid w:val="001F7EF1"/>
    <w:rsid w:val="00201C19"/>
    <w:rsid w:val="00204C92"/>
    <w:rsid w:val="0021076B"/>
    <w:rsid w:val="002107DE"/>
    <w:rsid w:val="00210D4E"/>
    <w:rsid w:val="002132EC"/>
    <w:rsid w:val="00214087"/>
    <w:rsid w:val="00214866"/>
    <w:rsid w:val="0021497D"/>
    <w:rsid w:val="00214E2D"/>
    <w:rsid w:val="002156C4"/>
    <w:rsid w:val="002158AE"/>
    <w:rsid w:val="00215E6C"/>
    <w:rsid w:val="002165FE"/>
    <w:rsid w:val="002208A0"/>
    <w:rsid w:val="002212DB"/>
    <w:rsid w:val="00221737"/>
    <w:rsid w:val="00222AE3"/>
    <w:rsid w:val="00222BA3"/>
    <w:rsid w:val="0022496E"/>
    <w:rsid w:val="00225309"/>
    <w:rsid w:val="00227F1A"/>
    <w:rsid w:val="002334F2"/>
    <w:rsid w:val="00233A89"/>
    <w:rsid w:val="00235CC7"/>
    <w:rsid w:val="00237ABB"/>
    <w:rsid w:val="00240431"/>
    <w:rsid w:val="00240FC4"/>
    <w:rsid w:val="00241035"/>
    <w:rsid w:val="002416BB"/>
    <w:rsid w:val="00241CA2"/>
    <w:rsid w:val="00241EDE"/>
    <w:rsid w:val="00242604"/>
    <w:rsid w:val="002429E3"/>
    <w:rsid w:val="00244F91"/>
    <w:rsid w:val="00245330"/>
    <w:rsid w:val="0024542E"/>
    <w:rsid w:val="002474F5"/>
    <w:rsid w:val="00247579"/>
    <w:rsid w:val="00250160"/>
    <w:rsid w:val="002507AC"/>
    <w:rsid w:val="00252EDA"/>
    <w:rsid w:val="0026046C"/>
    <w:rsid w:val="00261DDF"/>
    <w:rsid w:val="00262351"/>
    <w:rsid w:val="00262C7A"/>
    <w:rsid w:val="00262CFF"/>
    <w:rsid w:val="00270034"/>
    <w:rsid w:val="002724C9"/>
    <w:rsid w:val="0027483C"/>
    <w:rsid w:val="002751CA"/>
    <w:rsid w:val="00275E8A"/>
    <w:rsid w:val="002767D0"/>
    <w:rsid w:val="00277895"/>
    <w:rsid w:val="00277B53"/>
    <w:rsid w:val="00277DA2"/>
    <w:rsid w:val="00280F54"/>
    <w:rsid w:val="002817E2"/>
    <w:rsid w:val="00281E6B"/>
    <w:rsid w:val="0028371C"/>
    <w:rsid w:val="00283CDF"/>
    <w:rsid w:val="00285FE4"/>
    <w:rsid w:val="002866D4"/>
    <w:rsid w:val="00286F0E"/>
    <w:rsid w:val="00292A61"/>
    <w:rsid w:val="0029390F"/>
    <w:rsid w:val="002948E6"/>
    <w:rsid w:val="002949A1"/>
    <w:rsid w:val="0029696C"/>
    <w:rsid w:val="002A275A"/>
    <w:rsid w:val="002A3B9F"/>
    <w:rsid w:val="002A5E8B"/>
    <w:rsid w:val="002A7368"/>
    <w:rsid w:val="002A777E"/>
    <w:rsid w:val="002B024E"/>
    <w:rsid w:val="002B0A50"/>
    <w:rsid w:val="002B0C33"/>
    <w:rsid w:val="002B208A"/>
    <w:rsid w:val="002B2121"/>
    <w:rsid w:val="002B5B10"/>
    <w:rsid w:val="002B6504"/>
    <w:rsid w:val="002C0707"/>
    <w:rsid w:val="002C27F0"/>
    <w:rsid w:val="002C3574"/>
    <w:rsid w:val="002C4BC8"/>
    <w:rsid w:val="002C4CA4"/>
    <w:rsid w:val="002C53B0"/>
    <w:rsid w:val="002C6122"/>
    <w:rsid w:val="002C6F3E"/>
    <w:rsid w:val="002D08E5"/>
    <w:rsid w:val="002D1E38"/>
    <w:rsid w:val="002D299C"/>
    <w:rsid w:val="002D2D13"/>
    <w:rsid w:val="002D40E4"/>
    <w:rsid w:val="002D5CE8"/>
    <w:rsid w:val="002D620F"/>
    <w:rsid w:val="002D6CDE"/>
    <w:rsid w:val="002E040A"/>
    <w:rsid w:val="002E4706"/>
    <w:rsid w:val="002E57D0"/>
    <w:rsid w:val="002E57D7"/>
    <w:rsid w:val="002E5B19"/>
    <w:rsid w:val="002E64E1"/>
    <w:rsid w:val="002F0304"/>
    <w:rsid w:val="002F0536"/>
    <w:rsid w:val="002F23BA"/>
    <w:rsid w:val="002F407A"/>
    <w:rsid w:val="002F55A0"/>
    <w:rsid w:val="002F56E9"/>
    <w:rsid w:val="002F5895"/>
    <w:rsid w:val="002F7831"/>
    <w:rsid w:val="00301C19"/>
    <w:rsid w:val="0030202C"/>
    <w:rsid w:val="00302AC2"/>
    <w:rsid w:val="00304A66"/>
    <w:rsid w:val="00304C0E"/>
    <w:rsid w:val="00304F5F"/>
    <w:rsid w:val="00305B6C"/>
    <w:rsid w:val="0030632B"/>
    <w:rsid w:val="00307197"/>
    <w:rsid w:val="00311A41"/>
    <w:rsid w:val="00313643"/>
    <w:rsid w:val="0031503E"/>
    <w:rsid w:val="00315326"/>
    <w:rsid w:val="00315922"/>
    <w:rsid w:val="00315B7F"/>
    <w:rsid w:val="00317AA1"/>
    <w:rsid w:val="0032033D"/>
    <w:rsid w:val="00320C09"/>
    <w:rsid w:val="003224C2"/>
    <w:rsid w:val="00323512"/>
    <w:rsid w:val="00326CA1"/>
    <w:rsid w:val="00327E5A"/>
    <w:rsid w:val="003307B3"/>
    <w:rsid w:val="00330B4F"/>
    <w:rsid w:val="00331DD3"/>
    <w:rsid w:val="00334F39"/>
    <w:rsid w:val="0033528B"/>
    <w:rsid w:val="003356B3"/>
    <w:rsid w:val="0034102D"/>
    <w:rsid w:val="003425E0"/>
    <w:rsid w:val="003438AF"/>
    <w:rsid w:val="00343B52"/>
    <w:rsid w:val="00345532"/>
    <w:rsid w:val="003474E6"/>
    <w:rsid w:val="00350249"/>
    <w:rsid w:val="00350E1A"/>
    <w:rsid w:val="0035158F"/>
    <w:rsid w:val="00351CCB"/>
    <w:rsid w:val="00352BB7"/>
    <w:rsid w:val="00353B06"/>
    <w:rsid w:val="0035566E"/>
    <w:rsid w:val="00356148"/>
    <w:rsid w:val="003566FF"/>
    <w:rsid w:val="00356D62"/>
    <w:rsid w:val="0036217F"/>
    <w:rsid w:val="00362B7E"/>
    <w:rsid w:val="00363D35"/>
    <w:rsid w:val="00371761"/>
    <w:rsid w:val="003722C5"/>
    <w:rsid w:val="0037264A"/>
    <w:rsid w:val="00372892"/>
    <w:rsid w:val="00373BB3"/>
    <w:rsid w:val="00376784"/>
    <w:rsid w:val="00376970"/>
    <w:rsid w:val="003776F6"/>
    <w:rsid w:val="003811F0"/>
    <w:rsid w:val="00382A22"/>
    <w:rsid w:val="00382BF2"/>
    <w:rsid w:val="00384A4A"/>
    <w:rsid w:val="00386078"/>
    <w:rsid w:val="00386A86"/>
    <w:rsid w:val="00387039"/>
    <w:rsid w:val="00387B36"/>
    <w:rsid w:val="0039005C"/>
    <w:rsid w:val="00392010"/>
    <w:rsid w:val="003965DE"/>
    <w:rsid w:val="00396C11"/>
    <w:rsid w:val="00396EAA"/>
    <w:rsid w:val="003A0910"/>
    <w:rsid w:val="003A1AD3"/>
    <w:rsid w:val="003A1E43"/>
    <w:rsid w:val="003A1ED6"/>
    <w:rsid w:val="003A3B6A"/>
    <w:rsid w:val="003A50D4"/>
    <w:rsid w:val="003A5EDD"/>
    <w:rsid w:val="003A71C7"/>
    <w:rsid w:val="003B122B"/>
    <w:rsid w:val="003B144B"/>
    <w:rsid w:val="003B1A4E"/>
    <w:rsid w:val="003B26FD"/>
    <w:rsid w:val="003B28F9"/>
    <w:rsid w:val="003B2E83"/>
    <w:rsid w:val="003B4098"/>
    <w:rsid w:val="003B4C1E"/>
    <w:rsid w:val="003B5BD6"/>
    <w:rsid w:val="003B5F1C"/>
    <w:rsid w:val="003C0F44"/>
    <w:rsid w:val="003C23CA"/>
    <w:rsid w:val="003C446A"/>
    <w:rsid w:val="003C5BDD"/>
    <w:rsid w:val="003C6E38"/>
    <w:rsid w:val="003C75D6"/>
    <w:rsid w:val="003D2F0B"/>
    <w:rsid w:val="003D3099"/>
    <w:rsid w:val="003D3EA7"/>
    <w:rsid w:val="003D4F39"/>
    <w:rsid w:val="003D6133"/>
    <w:rsid w:val="003D6DBC"/>
    <w:rsid w:val="003D7C73"/>
    <w:rsid w:val="003E3BFF"/>
    <w:rsid w:val="003E4294"/>
    <w:rsid w:val="003E78D4"/>
    <w:rsid w:val="003F0DD2"/>
    <w:rsid w:val="003F22DB"/>
    <w:rsid w:val="003F2A06"/>
    <w:rsid w:val="0040326C"/>
    <w:rsid w:val="00403A7D"/>
    <w:rsid w:val="00405D10"/>
    <w:rsid w:val="0040698F"/>
    <w:rsid w:val="004129B9"/>
    <w:rsid w:val="00413664"/>
    <w:rsid w:val="00413F02"/>
    <w:rsid w:val="004141F0"/>
    <w:rsid w:val="0041425E"/>
    <w:rsid w:val="00414328"/>
    <w:rsid w:val="00414DAA"/>
    <w:rsid w:val="00416248"/>
    <w:rsid w:val="00417609"/>
    <w:rsid w:val="00417D0C"/>
    <w:rsid w:val="0042111B"/>
    <w:rsid w:val="004212CB"/>
    <w:rsid w:val="004236C9"/>
    <w:rsid w:val="00425340"/>
    <w:rsid w:val="00427023"/>
    <w:rsid w:val="004301FC"/>
    <w:rsid w:val="0043089B"/>
    <w:rsid w:val="00432921"/>
    <w:rsid w:val="00440404"/>
    <w:rsid w:val="00440CBD"/>
    <w:rsid w:val="00441FC1"/>
    <w:rsid w:val="004427D3"/>
    <w:rsid w:val="00444ACB"/>
    <w:rsid w:val="00446DBC"/>
    <w:rsid w:val="0044741C"/>
    <w:rsid w:val="00447D89"/>
    <w:rsid w:val="00450A1F"/>
    <w:rsid w:val="00451A4A"/>
    <w:rsid w:val="004524D0"/>
    <w:rsid w:val="00452580"/>
    <w:rsid w:val="00452615"/>
    <w:rsid w:val="004533F9"/>
    <w:rsid w:val="0045527A"/>
    <w:rsid w:val="0045533E"/>
    <w:rsid w:val="00455371"/>
    <w:rsid w:val="0045556D"/>
    <w:rsid w:val="00456769"/>
    <w:rsid w:val="00456A4B"/>
    <w:rsid w:val="00456E06"/>
    <w:rsid w:val="00460BA3"/>
    <w:rsid w:val="004631B6"/>
    <w:rsid w:val="00463522"/>
    <w:rsid w:val="00463E02"/>
    <w:rsid w:val="00464AED"/>
    <w:rsid w:val="004652B6"/>
    <w:rsid w:val="0046548D"/>
    <w:rsid w:val="004655CB"/>
    <w:rsid w:val="004662C9"/>
    <w:rsid w:val="00471225"/>
    <w:rsid w:val="0047153F"/>
    <w:rsid w:val="00471660"/>
    <w:rsid w:val="004728FB"/>
    <w:rsid w:val="00474C28"/>
    <w:rsid w:val="00475853"/>
    <w:rsid w:val="00476830"/>
    <w:rsid w:val="00477077"/>
    <w:rsid w:val="004776A5"/>
    <w:rsid w:val="004805F4"/>
    <w:rsid w:val="00481A13"/>
    <w:rsid w:val="00481DB8"/>
    <w:rsid w:val="00482F12"/>
    <w:rsid w:val="004867AC"/>
    <w:rsid w:val="00486FA0"/>
    <w:rsid w:val="00496B1E"/>
    <w:rsid w:val="004A0360"/>
    <w:rsid w:val="004A28C4"/>
    <w:rsid w:val="004A5189"/>
    <w:rsid w:val="004A621D"/>
    <w:rsid w:val="004A68F1"/>
    <w:rsid w:val="004A6D19"/>
    <w:rsid w:val="004B0ED1"/>
    <w:rsid w:val="004B130F"/>
    <w:rsid w:val="004B3781"/>
    <w:rsid w:val="004B3ECC"/>
    <w:rsid w:val="004B4442"/>
    <w:rsid w:val="004B7205"/>
    <w:rsid w:val="004C0CBA"/>
    <w:rsid w:val="004C1F28"/>
    <w:rsid w:val="004C46B6"/>
    <w:rsid w:val="004C59F6"/>
    <w:rsid w:val="004D2BC3"/>
    <w:rsid w:val="004D3A85"/>
    <w:rsid w:val="004D462B"/>
    <w:rsid w:val="004D66EB"/>
    <w:rsid w:val="004D7DCD"/>
    <w:rsid w:val="004E1118"/>
    <w:rsid w:val="004E198D"/>
    <w:rsid w:val="004E3125"/>
    <w:rsid w:val="004E3937"/>
    <w:rsid w:val="004E6426"/>
    <w:rsid w:val="004E754F"/>
    <w:rsid w:val="004F17BF"/>
    <w:rsid w:val="004F1B45"/>
    <w:rsid w:val="004F5347"/>
    <w:rsid w:val="004F5B02"/>
    <w:rsid w:val="004F77FF"/>
    <w:rsid w:val="00500E94"/>
    <w:rsid w:val="005057E9"/>
    <w:rsid w:val="00510955"/>
    <w:rsid w:val="005110D7"/>
    <w:rsid w:val="00511983"/>
    <w:rsid w:val="00517D53"/>
    <w:rsid w:val="00523741"/>
    <w:rsid w:val="00525E49"/>
    <w:rsid w:val="00526179"/>
    <w:rsid w:val="005268D9"/>
    <w:rsid w:val="00526EC4"/>
    <w:rsid w:val="00527470"/>
    <w:rsid w:val="00530594"/>
    <w:rsid w:val="00530DAD"/>
    <w:rsid w:val="005326AF"/>
    <w:rsid w:val="00533266"/>
    <w:rsid w:val="0053607F"/>
    <w:rsid w:val="00536A6B"/>
    <w:rsid w:val="00536B81"/>
    <w:rsid w:val="005403B2"/>
    <w:rsid w:val="00540820"/>
    <w:rsid w:val="00541506"/>
    <w:rsid w:val="00541D4B"/>
    <w:rsid w:val="0054437E"/>
    <w:rsid w:val="005445E4"/>
    <w:rsid w:val="005466D3"/>
    <w:rsid w:val="00550B23"/>
    <w:rsid w:val="0055324C"/>
    <w:rsid w:val="00553551"/>
    <w:rsid w:val="00553DCC"/>
    <w:rsid w:val="00554687"/>
    <w:rsid w:val="005552CF"/>
    <w:rsid w:val="005552EB"/>
    <w:rsid w:val="00557BCB"/>
    <w:rsid w:val="005636EA"/>
    <w:rsid w:val="00563F85"/>
    <w:rsid w:val="0056499F"/>
    <w:rsid w:val="00566845"/>
    <w:rsid w:val="00567C0F"/>
    <w:rsid w:val="0057019A"/>
    <w:rsid w:val="0057099B"/>
    <w:rsid w:val="0057138B"/>
    <w:rsid w:val="005714BC"/>
    <w:rsid w:val="0057280A"/>
    <w:rsid w:val="00573A48"/>
    <w:rsid w:val="0057400E"/>
    <w:rsid w:val="005753F4"/>
    <w:rsid w:val="005766C8"/>
    <w:rsid w:val="00576E4F"/>
    <w:rsid w:val="00580688"/>
    <w:rsid w:val="0058125F"/>
    <w:rsid w:val="00581CA8"/>
    <w:rsid w:val="00581F02"/>
    <w:rsid w:val="00582A6E"/>
    <w:rsid w:val="00583B18"/>
    <w:rsid w:val="00584A8A"/>
    <w:rsid w:val="005862E0"/>
    <w:rsid w:val="00591B1A"/>
    <w:rsid w:val="005924A0"/>
    <w:rsid w:val="00592556"/>
    <w:rsid w:val="00593177"/>
    <w:rsid w:val="00595897"/>
    <w:rsid w:val="00595BA2"/>
    <w:rsid w:val="005964A9"/>
    <w:rsid w:val="00597210"/>
    <w:rsid w:val="005A2853"/>
    <w:rsid w:val="005A2B5B"/>
    <w:rsid w:val="005A4229"/>
    <w:rsid w:val="005A42C6"/>
    <w:rsid w:val="005B26AD"/>
    <w:rsid w:val="005B29FA"/>
    <w:rsid w:val="005B2D20"/>
    <w:rsid w:val="005B6207"/>
    <w:rsid w:val="005B7262"/>
    <w:rsid w:val="005C05DD"/>
    <w:rsid w:val="005C18CD"/>
    <w:rsid w:val="005C2535"/>
    <w:rsid w:val="005C5C16"/>
    <w:rsid w:val="005C7CD4"/>
    <w:rsid w:val="005D01B0"/>
    <w:rsid w:val="005D1459"/>
    <w:rsid w:val="005D1972"/>
    <w:rsid w:val="005D259C"/>
    <w:rsid w:val="005D4F1A"/>
    <w:rsid w:val="005D6994"/>
    <w:rsid w:val="005D7636"/>
    <w:rsid w:val="005D771B"/>
    <w:rsid w:val="005E3E47"/>
    <w:rsid w:val="005E4E71"/>
    <w:rsid w:val="005E654E"/>
    <w:rsid w:val="005F26E4"/>
    <w:rsid w:val="005F2E49"/>
    <w:rsid w:val="005F308C"/>
    <w:rsid w:val="005F407D"/>
    <w:rsid w:val="005F4B68"/>
    <w:rsid w:val="005F75DC"/>
    <w:rsid w:val="00600241"/>
    <w:rsid w:val="0060043B"/>
    <w:rsid w:val="006011B7"/>
    <w:rsid w:val="00601947"/>
    <w:rsid w:val="00602438"/>
    <w:rsid w:val="0060464A"/>
    <w:rsid w:val="00604C4A"/>
    <w:rsid w:val="00605612"/>
    <w:rsid w:val="00605ED7"/>
    <w:rsid w:val="00612E8C"/>
    <w:rsid w:val="006141C7"/>
    <w:rsid w:val="006142F4"/>
    <w:rsid w:val="00614676"/>
    <w:rsid w:val="00614951"/>
    <w:rsid w:val="006156EA"/>
    <w:rsid w:val="00615A55"/>
    <w:rsid w:val="00620234"/>
    <w:rsid w:val="00620973"/>
    <w:rsid w:val="00621E13"/>
    <w:rsid w:val="00622973"/>
    <w:rsid w:val="00632561"/>
    <w:rsid w:val="0063291E"/>
    <w:rsid w:val="00636E74"/>
    <w:rsid w:val="0063746F"/>
    <w:rsid w:val="00637C6E"/>
    <w:rsid w:val="006408AA"/>
    <w:rsid w:val="006420E1"/>
    <w:rsid w:val="006423DA"/>
    <w:rsid w:val="00642D7D"/>
    <w:rsid w:val="006457F6"/>
    <w:rsid w:val="006515B3"/>
    <w:rsid w:val="006526FC"/>
    <w:rsid w:val="00654C05"/>
    <w:rsid w:val="0065636E"/>
    <w:rsid w:val="00660DD7"/>
    <w:rsid w:val="006624B5"/>
    <w:rsid w:val="0066254A"/>
    <w:rsid w:val="006627CD"/>
    <w:rsid w:val="0067067F"/>
    <w:rsid w:val="00671670"/>
    <w:rsid w:val="00671B9F"/>
    <w:rsid w:val="006724AD"/>
    <w:rsid w:val="00672EA1"/>
    <w:rsid w:val="006753D4"/>
    <w:rsid w:val="00676AC5"/>
    <w:rsid w:val="00680AA1"/>
    <w:rsid w:val="0068164E"/>
    <w:rsid w:val="006861F9"/>
    <w:rsid w:val="006877A8"/>
    <w:rsid w:val="00691E28"/>
    <w:rsid w:val="0069225A"/>
    <w:rsid w:val="00692DE2"/>
    <w:rsid w:val="00693336"/>
    <w:rsid w:val="0069391B"/>
    <w:rsid w:val="0069432F"/>
    <w:rsid w:val="0069466D"/>
    <w:rsid w:val="00696CB8"/>
    <w:rsid w:val="006A11A7"/>
    <w:rsid w:val="006A4966"/>
    <w:rsid w:val="006A4E89"/>
    <w:rsid w:val="006A60D6"/>
    <w:rsid w:val="006A6C0B"/>
    <w:rsid w:val="006B0053"/>
    <w:rsid w:val="006B0431"/>
    <w:rsid w:val="006B0F76"/>
    <w:rsid w:val="006B1CCA"/>
    <w:rsid w:val="006B5336"/>
    <w:rsid w:val="006B69B4"/>
    <w:rsid w:val="006B6AFF"/>
    <w:rsid w:val="006B76BD"/>
    <w:rsid w:val="006C0F2B"/>
    <w:rsid w:val="006C1BB9"/>
    <w:rsid w:val="006C1D77"/>
    <w:rsid w:val="006C2270"/>
    <w:rsid w:val="006C2D46"/>
    <w:rsid w:val="006C3CBF"/>
    <w:rsid w:val="006C5B9F"/>
    <w:rsid w:val="006C678B"/>
    <w:rsid w:val="006D008B"/>
    <w:rsid w:val="006D00B3"/>
    <w:rsid w:val="006D11D6"/>
    <w:rsid w:val="006D4720"/>
    <w:rsid w:val="006D491F"/>
    <w:rsid w:val="006D50A7"/>
    <w:rsid w:val="006D6D7E"/>
    <w:rsid w:val="006D6DAF"/>
    <w:rsid w:val="006D6EDF"/>
    <w:rsid w:val="006E366B"/>
    <w:rsid w:val="006E3723"/>
    <w:rsid w:val="006E3A00"/>
    <w:rsid w:val="006E6BB6"/>
    <w:rsid w:val="006F144E"/>
    <w:rsid w:val="006F18C1"/>
    <w:rsid w:val="006F1FB6"/>
    <w:rsid w:val="006F2EB7"/>
    <w:rsid w:val="006F53AD"/>
    <w:rsid w:val="006F57D8"/>
    <w:rsid w:val="006F5CEB"/>
    <w:rsid w:val="006F6FFF"/>
    <w:rsid w:val="00701045"/>
    <w:rsid w:val="007013A7"/>
    <w:rsid w:val="00704160"/>
    <w:rsid w:val="0070418C"/>
    <w:rsid w:val="00704459"/>
    <w:rsid w:val="00706F6F"/>
    <w:rsid w:val="00707681"/>
    <w:rsid w:val="00710B57"/>
    <w:rsid w:val="007129F2"/>
    <w:rsid w:val="00716E54"/>
    <w:rsid w:val="007175A2"/>
    <w:rsid w:val="0072193A"/>
    <w:rsid w:val="00721D03"/>
    <w:rsid w:val="00723535"/>
    <w:rsid w:val="00724FC1"/>
    <w:rsid w:val="00725544"/>
    <w:rsid w:val="007260D0"/>
    <w:rsid w:val="0073016D"/>
    <w:rsid w:val="007313DB"/>
    <w:rsid w:val="00731DFA"/>
    <w:rsid w:val="007324FB"/>
    <w:rsid w:val="007356B7"/>
    <w:rsid w:val="00736DF1"/>
    <w:rsid w:val="00743560"/>
    <w:rsid w:val="00744EDA"/>
    <w:rsid w:val="00746EEB"/>
    <w:rsid w:val="00747B33"/>
    <w:rsid w:val="007536D6"/>
    <w:rsid w:val="007538F9"/>
    <w:rsid w:val="00760527"/>
    <w:rsid w:val="007616CE"/>
    <w:rsid w:val="00763F49"/>
    <w:rsid w:val="007649F6"/>
    <w:rsid w:val="0076547E"/>
    <w:rsid w:val="00765C88"/>
    <w:rsid w:val="00766C3F"/>
    <w:rsid w:val="00770AFF"/>
    <w:rsid w:val="00770C20"/>
    <w:rsid w:val="00771161"/>
    <w:rsid w:val="00771EF3"/>
    <w:rsid w:val="0077377D"/>
    <w:rsid w:val="00773EE1"/>
    <w:rsid w:val="0077452E"/>
    <w:rsid w:val="0078004C"/>
    <w:rsid w:val="0078158F"/>
    <w:rsid w:val="007817AD"/>
    <w:rsid w:val="00781E2A"/>
    <w:rsid w:val="007822F8"/>
    <w:rsid w:val="00782C14"/>
    <w:rsid w:val="007849E6"/>
    <w:rsid w:val="007855B4"/>
    <w:rsid w:val="00786993"/>
    <w:rsid w:val="0078799B"/>
    <w:rsid w:val="0079555B"/>
    <w:rsid w:val="00796211"/>
    <w:rsid w:val="007978A6"/>
    <w:rsid w:val="007A002F"/>
    <w:rsid w:val="007A1497"/>
    <w:rsid w:val="007A243B"/>
    <w:rsid w:val="007A3897"/>
    <w:rsid w:val="007A3B07"/>
    <w:rsid w:val="007A3D4D"/>
    <w:rsid w:val="007A4C5F"/>
    <w:rsid w:val="007A50AC"/>
    <w:rsid w:val="007A54E5"/>
    <w:rsid w:val="007A58C4"/>
    <w:rsid w:val="007A671D"/>
    <w:rsid w:val="007B19FB"/>
    <w:rsid w:val="007B1D11"/>
    <w:rsid w:val="007B5C5C"/>
    <w:rsid w:val="007B65A6"/>
    <w:rsid w:val="007C0215"/>
    <w:rsid w:val="007C09CE"/>
    <w:rsid w:val="007C1FDC"/>
    <w:rsid w:val="007C2A1C"/>
    <w:rsid w:val="007C3330"/>
    <w:rsid w:val="007C3796"/>
    <w:rsid w:val="007C510A"/>
    <w:rsid w:val="007C6C13"/>
    <w:rsid w:val="007D507A"/>
    <w:rsid w:val="007D66CB"/>
    <w:rsid w:val="007D72DE"/>
    <w:rsid w:val="007D7EA2"/>
    <w:rsid w:val="007E1DA2"/>
    <w:rsid w:val="007E1F06"/>
    <w:rsid w:val="007E5955"/>
    <w:rsid w:val="007E5FA3"/>
    <w:rsid w:val="007E6ABF"/>
    <w:rsid w:val="007E7D9D"/>
    <w:rsid w:val="007F04A0"/>
    <w:rsid w:val="007F1486"/>
    <w:rsid w:val="007F198C"/>
    <w:rsid w:val="007F2630"/>
    <w:rsid w:val="007F6CA1"/>
    <w:rsid w:val="007F7BD1"/>
    <w:rsid w:val="008024A6"/>
    <w:rsid w:val="00802CB7"/>
    <w:rsid w:val="00802DD7"/>
    <w:rsid w:val="00802F9F"/>
    <w:rsid w:val="00803D97"/>
    <w:rsid w:val="00803F0E"/>
    <w:rsid w:val="008056A5"/>
    <w:rsid w:val="008056D6"/>
    <w:rsid w:val="008072FE"/>
    <w:rsid w:val="00807361"/>
    <w:rsid w:val="00810AB0"/>
    <w:rsid w:val="00811778"/>
    <w:rsid w:val="00811D1D"/>
    <w:rsid w:val="00812D65"/>
    <w:rsid w:val="0081402D"/>
    <w:rsid w:val="00814E06"/>
    <w:rsid w:val="00817269"/>
    <w:rsid w:val="00820BC6"/>
    <w:rsid w:val="008219D4"/>
    <w:rsid w:val="00823D35"/>
    <w:rsid w:val="00823E1F"/>
    <w:rsid w:val="008243EC"/>
    <w:rsid w:val="00824D49"/>
    <w:rsid w:val="008251CD"/>
    <w:rsid w:val="008359B4"/>
    <w:rsid w:val="008373D5"/>
    <w:rsid w:val="008409D4"/>
    <w:rsid w:val="00842B9D"/>
    <w:rsid w:val="00843A46"/>
    <w:rsid w:val="00844FAF"/>
    <w:rsid w:val="0084514C"/>
    <w:rsid w:val="0084611F"/>
    <w:rsid w:val="00846746"/>
    <w:rsid w:val="00847819"/>
    <w:rsid w:val="00852783"/>
    <w:rsid w:val="0085473B"/>
    <w:rsid w:val="0085512E"/>
    <w:rsid w:val="008558CA"/>
    <w:rsid w:val="008564F8"/>
    <w:rsid w:val="008618A2"/>
    <w:rsid w:val="00863E29"/>
    <w:rsid w:val="008644CB"/>
    <w:rsid w:val="008658C6"/>
    <w:rsid w:val="00866A0A"/>
    <w:rsid w:val="00867137"/>
    <w:rsid w:val="00870462"/>
    <w:rsid w:val="00870655"/>
    <w:rsid w:val="008714FE"/>
    <w:rsid w:val="00871F86"/>
    <w:rsid w:val="00876880"/>
    <w:rsid w:val="00877B60"/>
    <w:rsid w:val="00880249"/>
    <w:rsid w:val="00880F4B"/>
    <w:rsid w:val="008812EB"/>
    <w:rsid w:val="008825AA"/>
    <w:rsid w:val="0088579D"/>
    <w:rsid w:val="00886042"/>
    <w:rsid w:val="00886E6A"/>
    <w:rsid w:val="00890AD8"/>
    <w:rsid w:val="00892A5D"/>
    <w:rsid w:val="00892EC1"/>
    <w:rsid w:val="0089310C"/>
    <w:rsid w:val="0089376F"/>
    <w:rsid w:val="00893A1A"/>
    <w:rsid w:val="00895322"/>
    <w:rsid w:val="00896201"/>
    <w:rsid w:val="0089625C"/>
    <w:rsid w:val="008A08E9"/>
    <w:rsid w:val="008A1784"/>
    <w:rsid w:val="008A1B90"/>
    <w:rsid w:val="008A1DB4"/>
    <w:rsid w:val="008A2866"/>
    <w:rsid w:val="008A2B14"/>
    <w:rsid w:val="008A4B45"/>
    <w:rsid w:val="008A60C4"/>
    <w:rsid w:val="008A7171"/>
    <w:rsid w:val="008B16AC"/>
    <w:rsid w:val="008B1AA4"/>
    <w:rsid w:val="008B2F06"/>
    <w:rsid w:val="008B34DC"/>
    <w:rsid w:val="008B38D9"/>
    <w:rsid w:val="008B4C29"/>
    <w:rsid w:val="008B544D"/>
    <w:rsid w:val="008B5DA1"/>
    <w:rsid w:val="008B6304"/>
    <w:rsid w:val="008B656B"/>
    <w:rsid w:val="008B7170"/>
    <w:rsid w:val="008C0A0B"/>
    <w:rsid w:val="008C0B34"/>
    <w:rsid w:val="008C152C"/>
    <w:rsid w:val="008C26EB"/>
    <w:rsid w:val="008C2ACD"/>
    <w:rsid w:val="008C2E20"/>
    <w:rsid w:val="008C3005"/>
    <w:rsid w:val="008C3E42"/>
    <w:rsid w:val="008C490F"/>
    <w:rsid w:val="008C5FCC"/>
    <w:rsid w:val="008C668C"/>
    <w:rsid w:val="008D03F2"/>
    <w:rsid w:val="008D2576"/>
    <w:rsid w:val="008D2614"/>
    <w:rsid w:val="008D3511"/>
    <w:rsid w:val="008D37F3"/>
    <w:rsid w:val="008D4399"/>
    <w:rsid w:val="008D5A17"/>
    <w:rsid w:val="008D6488"/>
    <w:rsid w:val="008D77FB"/>
    <w:rsid w:val="008D7964"/>
    <w:rsid w:val="008E1BAF"/>
    <w:rsid w:val="008E251F"/>
    <w:rsid w:val="008E324C"/>
    <w:rsid w:val="008E6CE2"/>
    <w:rsid w:val="008E7AE0"/>
    <w:rsid w:val="008E7E8D"/>
    <w:rsid w:val="008F0C28"/>
    <w:rsid w:val="008F115D"/>
    <w:rsid w:val="008F45F0"/>
    <w:rsid w:val="008F5784"/>
    <w:rsid w:val="008F6C7C"/>
    <w:rsid w:val="009026B3"/>
    <w:rsid w:val="009030EC"/>
    <w:rsid w:val="00903B37"/>
    <w:rsid w:val="00907229"/>
    <w:rsid w:val="009129D3"/>
    <w:rsid w:val="009132C2"/>
    <w:rsid w:val="00913C7C"/>
    <w:rsid w:val="0091420D"/>
    <w:rsid w:val="00915B38"/>
    <w:rsid w:val="00917909"/>
    <w:rsid w:val="00917C9F"/>
    <w:rsid w:val="00921F29"/>
    <w:rsid w:val="00922AA7"/>
    <w:rsid w:val="00924937"/>
    <w:rsid w:val="0092497C"/>
    <w:rsid w:val="009260A3"/>
    <w:rsid w:val="00930CCB"/>
    <w:rsid w:val="00933761"/>
    <w:rsid w:val="009341F3"/>
    <w:rsid w:val="00935EE1"/>
    <w:rsid w:val="009414A9"/>
    <w:rsid w:val="00946FFD"/>
    <w:rsid w:val="0095061B"/>
    <w:rsid w:val="00950C5F"/>
    <w:rsid w:val="00950FAE"/>
    <w:rsid w:val="009511F4"/>
    <w:rsid w:val="00951D86"/>
    <w:rsid w:val="00951EA7"/>
    <w:rsid w:val="009520C3"/>
    <w:rsid w:val="00952957"/>
    <w:rsid w:val="009558D4"/>
    <w:rsid w:val="00956A8C"/>
    <w:rsid w:val="00962E17"/>
    <w:rsid w:val="00964084"/>
    <w:rsid w:val="00964A08"/>
    <w:rsid w:val="00966286"/>
    <w:rsid w:val="0096686A"/>
    <w:rsid w:val="0096739D"/>
    <w:rsid w:val="009721DD"/>
    <w:rsid w:val="0097616F"/>
    <w:rsid w:val="00976983"/>
    <w:rsid w:val="009779A4"/>
    <w:rsid w:val="00977EE7"/>
    <w:rsid w:val="00980E6E"/>
    <w:rsid w:val="009818BB"/>
    <w:rsid w:val="0098191F"/>
    <w:rsid w:val="00984A1B"/>
    <w:rsid w:val="00984B4D"/>
    <w:rsid w:val="009868B0"/>
    <w:rsid w:val="009904B4"/>
    <w:rsid w:val="00992124"/>
    <w:rsid w:val="009923FF"/>
    <w:rsid w:val="00994BD5"/>
    <w:rsid w:val="00994F69"/>
    <w:rsid w:val="009953C0"/>
    <w:rsid w:val="00996D53"/>
    <w:rsid w:val="00996E47"/>
    <w:rsid w:val="0099759A"/>
    <w:rsid w:val="00997F54"/>
    <w:rsid w:val="009A0477"/>
    <w:rsid w:val="009A05F2"/>
    <w:rsid w:val="009A0839"/>
    <w:rsid w:val="009A1C29"/>
    <w:rsid w:val="009A2BFE"/>
    <w:rsid w:val="009A34C6"/>
    <w:rsid w:val="009A42B8"/>
    <w:rsid w:val="009A5E0B"/>
    <w:rsid w:val="009A5EDF"/>
    <w:rsid w:val="009A5F30"/>
    <w:rsid w:val="009B0056"/>
    <w:rsid w:val="009B2279"/>
    <w:rsid w:val="009B2719"/>
    <w:rsid w:val="009B3367"/>
    <w:rsid w:val="009B7432"/>
    <w:rsid w:val="009B7763"/>
    <w:rsid w:val="009C0134"/>
    <w:rsid w:val="009C1EF5"/>
    <w:rsid w:val="009C48C8"/>
    <w:rsid w:val="009C6873"/>
    <w:rsid w:val="009C7450"/>
    <w:rsid w:val="009D0501"/>
    <w:rsid w:val="009D1FAA"/>
    <w:rsid w:val="009D242C"/>
    <w:rsid w:val="009D2828"/>
    <w:rsid w:val="009D5AD2"/>
    <w:rsid w:val="009D7C43"/>
    <w:rsid w:val="009D7D1C"/>
    <w:rsid w:val="009E03B6"/>
    <w:rsid w:val="009E24F6"/>
    <w:rsid w:val="009E51E1"/>
    <w:rsid w:val="009E55EF"/>
    <w:rsid w:val="009E69CC"/>
    <w:rsid w:val="009E6B04"/>
    <w:rsid w:val="009F2CED"/>
    <w:rsid w:val="009F555D"/>
    <w:rsid w:val="009F5CBA"/>
    <w:rsid w:val="00A0072C"/>
    <w:rsid w:val="00A008C6"/>
    <w:rsid w:val="00A00D28"/>
    <w:rsid w:val="00A02492"/>
    <w:rsid w:val="00A02EA9"/>
    <w:rsid w:val="00A033D3"/>
    <w:rsid w:val="00A04998"/>
    <w:rsid w:val="00A060BC"/>
    <w:rsid w:val="00A07260"/>
    <w:rsid w:val="00A10C13"/>
    <w:rsid w:val="00A12E60"/>
    <w:rsid w:val="00A14026"/>
    <w:rsid w:val="00A1535A"/>
    <w:rsid w:val="00A155D1"/>
    <w:rsid w:val="00A1570A"/>
    <w:rsid w:val="00A15F2F"/>
    <w:rsid w:val="00A167FC"/>
    <w:rsid w:val="00A2029A"/>
    <w:rsid w:val="00A20AA9"/>
    <w:rsid w:val="00A20F79"/>
    <w:rsid w:val="00A21D53"/>
    <w:rsid w:val="00A2292F"/>
    <w:rsid w:val="00A247BE"/>
    <w:rsid w:val="00A25333"/>
    <w:rsid w:val="00A256BC"/>
    <w:rsid w:val="00A26383"/>
    <w:rsid w:val="00A27633"/>
    <w:rsid w:val="00A314F6"/>
    <w:rsid w:val="00A316A6"/>
    <w:rsid w:val="00A3189F"/>
    <w:rsid w:val="00A32D8A"/>
    <w:rsid w:val="00A35633"/>
    <w:rsid w:val="00A35EE5"/>
    <w:rsid w:val="00A401EA"/>
    <w:rsid w:val="00A405BD"/>
    <w:rsid w:val="00A42A77"/>
    <w:rsid w:val="00A444A3"/>
    <w:rsid w:val="00A44754"/>
    <w:rsid w:val="00A447D4"/>
    <w:rsid w:val="00A45BCB"/>
    <w:rsid w:val="00A45C4C"/>
    <w:rsid w:val="00A47545"/>
    <w:rsid w:val="00A47B63"/>
    <w:rsid w:val="00A47D62"/>
    <w:rsid w:val="00A50C79"/>
    <w:rsid w:val="00A517CB"/>
    <w:rsid w:val="00A51851"/>
    <w:rsid w:val="00A52CE5"/>
    <w:rsid w:val="00A546F2"/>
    <w:rsid w:val="00A57BE2"/>
    <w:rsid w:val="00A60C8E"/>
    <w:rsid w:val="00A611D0"/>
    <w:rsid w:val="00A61658"/>
    <w:rsid w:val="00A61717"/>
    <w:rsid w:val="00A619DC"/>
    <w:rsid w:val="00A63486"/>
    <w:rsid w:val="00A636D5"/>
    <w:rsid w:val="00A63FEE"/>
    <w:rsid w:val="00A64411"/>
    <w:rsid w:val="00A714E5"/>
    <w:rsid w:val="00A7298B"/>
    <w:rsid w:val="00A73955"/>
    <w:rsid w:val="00A739B6"/>
    <w:rsid w:val="00A758BE"/>
    <w:rsid w:val="00A77CA4"/>
    <w:rsid w:val="00A81609"/>
    <w:rsid w:val="00A81672"/>
    <w:rsid w:val="00A82CE4"/>
    <w:rsid w:val="00A839FC"/>
    <w:rsid w:val="00A84C06"/>
    <w:rsid w:val="00A85AD9"/>
    <w:rsid w:val="00A87C40"/>
    <w:rsid w:val="00A9001B"/>
    <w:rsid w:val="00A908E6"/>
    <w:rsid w:val="00A9104B"/>
    <w:rsid w:val="00A923AA"/>
    <w:rsid w:val="00A92455"/>
    <w:rsid w:val="00A945C3"/>
    <w:rsid w:val="00AA10D2"/>
    <w:rsid w:val="00AA7914"/>
    <w:rsid w:val="00AB4203"/>
    <w:rsid w:val="00AB4D20"/>
    <w:rsid w:val="00AC0573"/>
    <w:rsid w:val="00AC0EBB"/>
    <w:rsid w:val="00AC2E67"/>
    <w:rsid w:val="00AC5565"/>
    <w:rsid w:val="00AC5F13"/>
    <w:rsid w:val="00AC60E6"/>
    <w:rsid w:val="00AD0BFA"/>
    <w:rsid w:val="00AD57F0"/>
    <w:rsid w:val="00AD7A63"/>
    <w:rsid w:val="00AE07B4"/>
    <w:rsid w:val="00AE1EAD"/>
    <w:rsid w:val="00AE3D18"/>
    <w:rsid w:val="00AE7E82"/>
    <w:rsid w:val="00AF37B3"/>
    <w:rsid w:val="00AF4588"/>
    <w:rsid w:val="00AF703F"/>
    <w:rsid w:val="00B02828"/>
    <w:rsid w:val="00B0296E"/>
    <w:rsid w:val="00B03A03"/>
    <w:rsid w:val="00B03FDB"/>
    <w:rsid w:val="00B064EF"/>
    <w:rsid w:val="00B06CE7"/>
    <w:rsid w:val="00B0745F"/>
    <w:rsid w:val="00B077AC"/>
    <w:rsid w:val="00B101D4"/>
    <w:rsid w:val="00B141BC"/>
    <w:rsid w:val="00B14874"/>
    <w:rsid w:val="00B15A51"/>
    <w:rsid w:val="00B20A8A"/>
    <w:rsid w:val="00B226B1"/>
    <w:rsid w:val="00B23AC9"/>
    <w:rsid w:val="00B23F98"/>
    <w:rsid w:val="00B255C4"/>
    <w:rsid w:val="00B25B75"/>
    <w:rsid w:val="00B2623D"/>
    <w:rsid w:val="00B27DC4"/>
    <w:rsid w:val="00B31FD0"/>
    <w:rsid w:val="00B3644E"/>
    <w:rsid w:val="00B3793B"/>
    <w:rsid w:val="00B40A23"/>
    <w:rsid w:val="00B4182E"/>
    <w:rsid w:val="00B50A27"/>
    <w:rsid w:val="00B5333C"/>
    <w:rsid w:val="00B5351B"/>
    <w:rsid w:val="00B53E61"/>
    <w:rsid w:val="00B55CD6"/>
    <w:rsid w:val="00B6031E"/>
    <w:rsid w:val="00B6473B"/>
    <w:rsid w:val="00B65DF5"/>
    <w:rsid w:val="00B66E68"/>
    <w:rsid w:val="00B70000"/>
    <w:rsid w:val="00B71992"/>
    <w:rsid w:val="00B74F36"/>
    <w:rsid w:val="00B75284"/>
    <w:rsid w:val="00B7639C"/>
    <w:rsid w:val="00B773DC"/>
    <w:rsid w:val="00B8094F"/>
    <w:rsid w:val="00B81406"/>
    <w:rsid w:val="00B81F37"/>
    <w:rsid w:val="00B82CB8"/>
    <w:rsid w:val="00B8468A"/>
    <w:rsid w:val="00B859D5"/>
    <w:rsid w:val="00B90488"/>
    <w:rsid w:val="00B91BEA"/>
    <w:rsid w:val="00B91D3A"/>
    <w:rsid w:val="00B92098"/>
    <w:rsid w:val="00B935DD"/>
    <w:rsid w:val="00B948F5"/>
    <w:rsid w:val="00B9537C"/>
    <w:rsid w:val="00B95534"/>
    <w:rsid w:val="00B955F9"/>
    <w:rsid w:val="00B95F0B"/>
    <w:rsid w:val="00BA1442"/>
    <w:rsid w:val="00BA2B2E"/>
    <w:rsid w:val="00BA5C89"/>
    <w:rsid w:val="00BA7954"/>
    <w:rsid w:val="00BA7DAF"/>
    <w:rsid w:val="00BB04CC"/>
    <w:rsid w:val="00BB0E4D"/>
    <w:rsid w:val="00BB13A9"/>
    <w:rsid w:val="00BB36B1"/>
    <w:rsid w:val="00BB42A6"/>
    <w:rsid w:val="00BB461F"/>
    <w:rsid w:val="00BB4C6F"/>
    <w:rsid w:val="00BB4CC5"/>
    <w:rsid w:val="00BB59A8"/>
    <w:rsid w:val="00BB5E2F"/>
    <w:rsid w:val="00BB6ED5"/>
    <w:rsid w:val="00BC2BFC"/>
    <w:rsid w:val="00BC3320"/>
    <w:rsid w:val="00BC5757"/>
    <w:rsid w:val="00BC595F"/>
    <w:rsid w:val="00BC6A0B"/>
    <w:rsid w:val="00BC6DB3"/>
    <w:rsid w:val="00BC7219"/>
    <w:rsid w:val="00BD2C7D"/>
    <w:rsid w:val="00BD3056"/>
    <w:rsid w:val="00BD30C5"/>
    <w:rsid w:val="00BD527B"/>
    <w:rsid w:val="00BD5889"/>
    <w:rsid w:val="00BD6051"/>
    <w:rsid w:val="00BD766A"/>
    <w:rsid w:val="00BD79B2"/>
    <w:rsid w:val="00BD7FA0"/>
    <w:rsid w:val="00BE07A7"/>
    <w:rsid w:val="00BE3C15"/>
    <w:rsid w:val="00BE4FB8"/>
    <w:rsid w:val="00BE5524"/>
    <w:rsid w:val="00BE7F4D"/>
    <w:rsid w:val="00BF1F48"/>
    <w:rsid w:val="00BF1FF3"/>
    <w:rsid w:val="00BF32A4"/>
    <w:rsid w:val="00BF5E3B"/>
    <w:rsid w:val="00BF67CE"/>
    <w:rsid w:val="00BF7636"/>
    <w:rsid w:val="00BF7F43"/>
    <w:rsid w:val="00C00D0A"/>
    <w:rsid w:val="00C02D29"/>
    <w:rsid w:val="00C03A3B"/>
    <w:rsid w:val="00C05956"/>
    <w:rsid w:val="00C070EF"/>
    <w:rsid w:val="00C11BD2"/>
    <w:rsid w:val="00C12808"/>
    <w:rsid w:val="00C12EFC"/>
    <w:rsid w:val="00C159B9"/>
    <w:rsid w:val="00C1690A"/>
    <w:rsid w:val="00C16C32"/>
    <w:rsid w:val="00C17AC8"/>
    <w:rsid w:val="00C2122E"/>
    <w:rsid w:val="00C21FB8"/>
    <w:rsid w:val="00C224D1"/>
    <w:rsid w:val="00C22EA6"/>
    <w:rsid w:val="00C23079"/>
    <w:rsid w:val="00C24008"/>
    <w:rsid w:val="00C24FA7"/>
    <w:rsid w:val="00C26DD2"/>
    <w:rsid w:val="00C27D5D"/>
    <w:rsid w:val="00C30FF4"/>
    <w:rsid w:val="00C320AA"/>
    <w:rsid w:val="00C32411"/>
    <w:rsid w:val="00C33A6D"/>
    <w:rsid w:val="00C3540C"/>
    <w:rsid w:val="00C37AB7"/>
    <w:rsid w:val="00C37E01"/>
    <w:rsid w:val="00C401B4"/>
    <w:rsid w:val="00C4081E"/>
    <w:rsid w:val="00C40CC3"/>
    <w:rsid w:val="00C41043"/>
    <w:rsid w:val="00C43893"/>
    <w:rsid w:val="00C46812"/>
    <w:rsid w:val="00C5144E"/>
    <w:rsid w:val="00C5395A"/>
    <w:rsid w:val="00C53E43"/>
    <w:rsid w:val="00C5546F"/>
    <w:rsid w:val="00C564A8"/>
    <w:rsid w:val="00C5691E"/>
    <w:rsid w:val="00C60F13"/>
    <w:rsid w:val="00C61351"/>
    <w:rsid w:val="00C6156C"/>
    <w:rsid w:val="00C61B30"/>
    <w:rsid w:val="00C62D81"/>
    <w:rsid w:val="00C6308A"/>
    <w:rsid w:val="00C633F8"/>
    <w:rsid w:val="00C65638"/>
    <w:rsid w:val="00C65B3D"/>
    <w:rsid w:val="00C65FD4"/>
    <w:rsid w:val="00C66979"/>
    <w:rsid w:val="00C67522"/>
    <w:rsid w:val="00C70A85"/>
    <w:rsid w:val="00C71FF0"/>
    <w:rsid w:val="00C72999"/>
    <w:rsid w:val="00C7397B"/>
    <w:rsid w:val="00C74A40"/>
    <w:rsid w:val="00C74CD5"/>
    <w:rsid w:val="00C76963"/>
    <w:rsid w:val="00C76C39"/>
    <w:rsid w:val="00C76CAC"/>
    <w:rsid w:val="00C77500"/>
    <w:rsid w:val="00C8038A"/>
    <w:rsid w:val="00C81EAC"/>
    <w:rsid w:val="00C81ECA"/>
    <w:rsid w:val="00C84B08"/>
    <w:rsid w:val="00C85469"/>
    <w:rsid w:val="00C87D81"/>
    <w:rsid w:val="00C90555"/>
    <w:rsid w:val="00C91607"/>
    <w:rsid w:val="00C9201E"/>
    <w:rsid w:val="00C92533"/>
    <w:rsid w:val="00C93D92"/>
    <w:rsid w:val="00C94621"/>
    <w:rsid w:val="00C9530F"/>
    <w:rsid w:val="00C9565D"/>
    <w:rsid w:val="00CA1A2E"/>
    <w:rsid w:val="00CA1DA0"/>
    <w:rsid w:val="00CA3FDD"/>
    <w:rsid w:val="00CA45A9"/>
    <w:rsid w:val="00CA4875"/>
    <w:rsid w:val="00CA6610"/>
    <w:rsid w:val="00CA664C"/>
    <w:rsid w:val="00CA70FB"/>
    <w:rsid w:val="00CA7F98"/>
    <w:rsid w:val="00CB0554"/>
    <w:rsid w:val="00CB0A57"/>
    <w:rsid w:val="00CB0BFB"/>
    <w:rsid w:val="00CB0DBF"/>
    <w:rsid w:val="00CB2D7D"/>
    <w:rsid w:val="00CC02CD"/>
    <w:rsid w:val="00CC073C"/>
    <w:rsid w:val="00CC2153"/>
    <w:rsid w:val="00CC2A2F"/>
    <w:rsid w:val="00CC2A3D"/>
    <w:rsid w:val="00CC4395"/>
    <w:rsid w:val="00CD01D0"/>
    <w:rsid w:val="00CD1288"/>
    <w:rsid w:val="00CD2D37"/>
    <w:rsid w:val="00CD3543"/>
    <w:rsid w:val="00CD4D39"/>
    <w:rsid w:val="00CD633A"/>
    <w:rsid w:val="00CD6396"/>
    <w:rsid w:val="00CD7103"/>
    <w:rsid w:val="00CD7B7E"/>
    <w:rsid w:val="00CE0F3C"/>
    <w:rsid w:val="00CE2158"/>
    <w:rsid w:val="00CE5A15"/>
    <w:rsid w:val="00CE5A92"/>
    <w:rsid w:val="00CE6487"/>
    <w:rsid w:val="00CE76BF"/>
    <w:rsid w:val="00CE7E77"/>
    <w:rsid w:val="00CF1CAA"/>
    <w:rsid w:val="00CF21FF"/>
    <w:rsid w:val="00CF4229"/>
    <w:rsid w:val="00CF4BBF"/>
    <w:rsid w:val="00D025DE"/>
    <w:rsid w:val="00D039A7"/>
    <w:rsid w:val="00D03ECE"/>
    <w:rsid w:val="00D03FAC"/>
    <w:rsid w:val="00D042BD"/>
    <w:rsid w:val="00D050E5"/>
    <w:rsid w:val="00D056DD"/>
    <w:rsid w:val="00D0591E"/>
    <w:rsid w:val="00D06B78"/>
    <w:rsid w:val="00D15180"/>
    <w:rsid w:val="00D16A07"/>
    <w:rsid w:val="00D21300"/>
    <w:rsid w:val="00D219C7"/>
    <w:rsid w:val="00D21EE0"/>
    <w:rsid w:val="00D2236B"/>
    <w:rsid w:val="00D236DE"/>
    <w:rsid w:val="00D2732B"/>
    <w:rsid w:val="00D27798"/>
    <w:rsid w:val="00D30EBB"/>
    <w:rsid w:val="00D32F7F"/>
    <w:rsid w:val="00D33891"/>
    <w:rsid w:val="00D346EA"/>
    <w:rsid w:val="00D34963"/>
    <w:rsid w:val="00D36C7C"/>
    <w:rsid w:val="00D375EE"/>
    <w:rsid w:val="00D40B7C"/>
    <w:rsid w:val="00D424D4"/>
    <w:rsid w:val="00D425C9"/>
    <w:rsid w:val="00D42B83"/>
    <w:rsid w:val="00D4316E"/>
    <w:rsid w:val="00D445AC"/>
    <w:rsid w:val="00D46132"/>
    <w:rsid w:val="00D46C4F"/>
    <w:rsid w:val="00D541D2"/>
    <w:rsid w:val="00D543D7"/>
    <w:rsid w:val="00D54B29"/>
    <w:rsid w:val="00D56E8F"/>
    <w:rsid w:val="00D60C33"/>
    <w:rsid w:val="00D61AC4"/>
    <w:rsid w:val="00D61F88"/>
    <w:rsid w:val="00D67833"/>
    <w:rsid w:val="00D71344"/>
    <w:rsid w:val="00D729B5"/>
    <w:rsid w:val="00D72E40"/>
    <w:rsid w:val="00D73B4B"/>
    <w:rsid w:val="00D772AE"/>
    <w:rsid w:val="00D77633"/>
    <w:rsid w:val="00D81600"/>
    <w:rsid w:val="00D8295F"/>
    <w:rsid w:val="00D830EC"/>
    <w:rsid w:val="00D83EB6"/>
    <w:rsid w:val="00D847E1"/>
    <w:rsid w:val="00D85127"/>
    <w:rsid w:val="00D8750C"/>
    <w:rsid w:val="00D87A4D"/>
    <w:rsid w:val="00D87E96"/>
    <w:rsid w:val="00D90664"/>
    <w:rsid w:val="00D90E16"/>
    <w:rsid w:val="00D913DE"/>
    <w:rsid w:val="00D92A80"/>
    <w:rsid w:val="00D9343F"/>
    <w:rsid w:val="00D937F1"/>
    <w:rsid w:val="00D94D56"/>
    <w:rsid w:val="00D9781A"/>
    <w:rsid w:val="00DA0486"/>
    <w:rsid w:val="00DA163A"/>
    <w:rsid w:val="00DA1C30"/>
    <w:rsid w:val="00DA29A9"/>
    <w:rsid w:val="00DA2B40"/>
    <w:rsid w:val="00DA2C38"/>
    <w:rsid w:val="00DA3356"/>
    <w:rsid w:val="00DA4CF6"/>
    <w:rsid w:val="00DA5E9F"/>
    <w:rsid w:val="00DA64C1"/>
    <w:rsid w:val="00DB0E9E"/>
    <w:rsid w:val="00DB11E2"/>
    <w:rsid w:val="00DB1D1A"/>
    <w:rsid w:val="00DB2483"/>
    <w:rsid w:val="00DB25C4"/>
    <w:rsid w:val="00DB2BAB"/>
    <w:rsid w:val="00DB596C"/>
    <w:rsid w:val="00DB5C7C"/>
    <w:rsid w:val="00DB6DD3"/>
    <w:rsid w:val="00DB7386"/>
    <w:rsid w:val="00DB7B6F"/>
    <w:rsid w:val="00DC03F2"/>
    <w:rsid w:val="00DC077B"/>
    <w:rsid w:val="00DC1A29"/>
    <w:rsid w:val="00DC348A"/>
    <w:rsid w:val="00DC3610"/>
    <w:rsid w:val="00DC4108"/>
    <w:rsid w:val="00DC47A7"/>
    <w:rsid w:val="00DC4FB4"/>
    <w:rsid w:val="00DC7324"/>
    <w:rsid w:val="00DD06CC"/>
    <w:rsid w:val="00DD06E2"/>
    <w:rsid w:val="00DD1DE1"/>
    <w:rsid w:val="00DD31D9"/>
    <w:rsid w:val="00DD3251"/>
    <w:rsid w:val="00DD48C5"/>
    <w:rsid w:val="00DD57D9"/>
    <w:rsid w:val="00DD6052"/>
    <w:rsid w:val="00DD7A8C"/>
    <w:rsid w:val="00DD7ECD"/>
    <w:rsid w:val="00DE0802"/>
    <w:rsid w:val="00DE2F4B"/>
    <w:rsid w:val="00DE4E42"/>
    <w:rsid w:val="00DE58BF"/>
    <w:rsid w:val="00DF29CB"/>
    <w:rsid w:val="00DF4269"/>
    <w:rsid w:val="00DF45C9"/>
    <w:rsid w:val="00DF4D6E"/>
    <w:rsid w:val="00DF5B7A"/>
    <w:rsid w:val="00DF6667"/>
    <w:rsid w:val="00E00000"/>
    <w:rsid w:val="00E011D8"/>
    <w:rsid w:val="00E02080"/>
    <w:rsid w:val="00E03565"/>
    <w:rsid w:val="00E07933"/>
    <w:rsid w:val="00E108C0"/>
    <w:rsid w:val="00E124A1"/>
    <w:rsid w:val="00E136E3"/>
    <w:rsid w:val="00E13C21"/>
    <w:rsid w:val="00E13DF1"/>
    <w:rsid w:val="00E1472C"/>
    <w:rsid w:val="00E14967"/>
    <w:rsid w:val="00E14FA4"/>
    <w:rsid w:val="00E15484"/>
    <w:rsid w:val="00E1581B"/>
    <w:rsid w:val="00E16E26"/>
    <w:rsid w:val="00E174CA"/>
    <w:rsid w:val="00E17693"/>
    <w:rsid w:val="00E20CD0"/>
    <w:rsid w:val="00E22657"/>
    <w:rsid w:val="00E22D85"/>
    <w:rsid w:val="00E22ECC"/>
    <w:rsid w:val="00E23798"/>
    <w:rsid w:val="00E23E71"/>
    <w:rsid w:val="00E2722A"/>
    <w:rsid w:val="00E330B9"/>
    <w:rsid w:val="00E336E0"/>
    <w:rsid w:val="00E35D37"/>
    <w:rsid w:val="00E36A0C"/>
    <w:rsid w:val="00E36FB4"/>
    <w:rsid w:val="00E37021"/>
    <w:rsid w:val="00E43374"/>
    <w:rsid w:val="00E44FA3"/>
    <w:rsid w:val="00E44FC5"/>
    <w:rsid w:val="00E46B2B"/>
    <w:rsid w:val="00E47958"/>
    <w:rsid w:val="00E50157"/>
    <w:rsid w:val="00E5105F"/>
    <w:rsid w:val="00E51149"/>
    <w:rsid w:val="00E53180"/>
    <w:rsid w:val="00E53638"/>
    <w:rsid w:val="00E53B0D"/>
    <w:rsid w:val="00E56BEF"/>
    <w:rsid w:val="00E61BDF"/>
    <w:rsid w:val="00E65B4D"/>
    <w:rsid w:val="00E67BD5"/>
    <w:rsid w:val="00E7154E"/>
    <w:rsid w:val="00E72279"/>
    <w:rsid w:val="00E77507"/>
    <w:rsid w:val="00E8271A"/>
    <w:rsid w:val="00E83C31"/>
    <w:rsid w:val="00E845E6"/>
    <w:rsid w:val="00E846A7"/>
    <w:rsid w:val="00E85DAB"/>
    <w:rsid w:val="00E8708C"/>
    <w:rsid w:val="00E91E4E"/>
    <w:rsid w:val="00E93122"/>
    <w:rsid w:val="00E93FD8"/>
    <w:rsid w:val="00E94CCA"/>
    <w:rsid w:val="00E97D0F"/>
    <w:rsid w:val="00EA0557"/>
    <w:rsid w:val="00EA5D3F"/>
    <w:rsid w:val="00EA6623"/>
    <w:rsid w:val="00EB0B5E"/>
    <w:rsid w:val="00EB1B59"/>
    <w:rsid w:val="00EB1B70"/>
    <w:rsid w:val="00EB2196"/>
    <w:rsid w:val="00EB2F58"/>
    <w:rsid w:val="00EB37C2"/>
    <w:rsid w:val="00EB6FB9"/>
    <w:rsid w:val="00EC087D"/>
    <w:rsid w:val="00EC3485"/>
    <w:rsid w:val="00EC5BC2"/>
    <w:rsid w:val="00EC656E"/>
    <w:rsid w:val="00EC76F2"/>
    <w:rsid w:val="00ED0F64"/>
    <w:rsid w:val="00ED1798"/>
    <w:rsid w:val="00ED1E1E"/>
    <w:rsid w:val="00ED2A21"/>
    <w:rsid w:val="00ED538D"/>
    <w:rsid w:val="00ED634E"/>
    <w:rsid w:val="00EE0068"/>
    <w:rsid w:val="00EE0AB1"/>
    <w:rsid w:val="00EE19AC"/>
    <w:rsid w:val="00EE26AB"/>
    <w:rsid w:val="00EE52B0"/>
    <w:rsid w:val="00EE56EB"/>
    <w:rsid w:val="00EE64AC"/>
    <w:rsid w:val="00EF13FC"/>
    <w:rsid w:val="00EF3C30"/>
    <w:rsid w:val="00EF5532"/>
    <w:rsid w:val="00EF613A"/>
    <w:rsid w:val="00EF6482"/>
    <w:rsid w:val="00EF6C13"/>
    <w:rsid w:val="00F0007C"/>
    <w:rsid w:val="00F040E1"/>
    <w:rsid w:val="00F04267"/>
    <w:rsid w:val="00F05F40"/>
    <w:rsid w:val="00F07B0C"/>
    <w:rsid w:val="00F1171B"/>
    <w:rsid w:val="00F15C7D"/>
    <w:rsid w:val="00F17249"/>
    <w:rsid w:val="00F1727B"/>
    <w:rsid w:val="00F172C3"/>
    <w:rsid w:val="00F1758A"/>
    <w:rsid w:val="00F17B03"/>
    <w:rsid w:val="00F20CF5"/>
    <w:rsid w:val="00F21C18"/>
    <w:rsid w:val="00F249A7"/>
    <w:rsid w:val="00F24B31"/>
    <w:rsid w:val="00F267FB"/>
    <w:rsid w:val="00F27CF0"/>
    <w:rsid w:val="00F30BFC"/>
    <w:rsid w:val="00F3116B"/>
    <w:rsid w:val="00F31AEB"/>
    <w:rsid w:val="00F31E96"/>
    <w:rsid w:val="00F32A09"/>
    <w:rsid w:val="00F349FF"/>
    <w:rsid w:val="00F361AD"/>
    <w:rsid w:val="00F3698F"/>
    <w:rsid w:val="00F36C43"/>
    <w:rsid w:val="00F37A24"/>
    <w:rsid w:val="00F451AD"/>
    <w:rsid w:val="00F46DF3"/>
    <w:rsid w:val="00F50560"/>
    <w:rsid w:val="00F51216"/>
    <w:rsid w:val="00F51A5B"/>
    <w:rsid w:val="00F52ABF"/>
    <w:rsid w:val="00F52BCE"/>
    <w:rsid w:val="00F52C62"/>
    <w:rsid w:val="00F53043"/>
    <w:rsid w:val="00F55391"/>
    <w:rsid w:val="00F57D89"/>
    <w:rsid w:val="00F609F4"/>
    <w:rsid w:val="00F60CE5"/>
    <w:rsid w:val="00F61617"/>
    <w:rsid w:val="00F64FD7"/>
    <w:rsid w:val="00F67B46"/>
    <w:rsid w:val="00F70A4F"/>
    <w:rsid w:val="00F70DA5"/>
    <w:rsid w:val="00F71687"/>
    <w:rsid w:val="00F71C22"/>
    <w:rsid w:val="00F72173"/>
    <w:rsid w:val="00F73141"/>
    <w:rsid w:val="00F73362"/>
    <w:rsid w:val="00F734C9"/>
    <w:rsid w:val="00F7468F"/>
    <w:rsid w:val="00F76F35"/>
    <w:rsid w:val="00F778F0"/>
    <w:rsid w:val="00F808D4"/>
    <w:rsid w:val="00F81DA9"/>
    <w:rsid w:val="00F842F4"/>
    <w:rsid w:val="00F84601"/>
    <w:rsid w:val="00F84988"/>
    <w:rsid w:val="00F85736"/>
    <w:rsid w:val="00F91D3E"/>
    <w:rsid w:val="00F92B3B"/>
    <w:rsid w:val="00F933B6"/>
    <w:rsid w:val="00F94737"/>
    <w:rsid w:val="00F9620E"/>
    <w:rsid w:val="00FA497B"/>
    <w:rsid w:val="00FA598E"/>
    <w:rsid w:val="00FA5C59"/>
    <w:rsid w:val="00FA60E4"/>
    <w:rsid w:val="00FA6958"/>
    <w:rsid w:val="00FA6F72"/>
    <w:rsid w:val="00FB1551"/>
    <w:rsid w:val="00FB2209"/>
    <w:rsid w:val="00FB776C"/>
    <w:rsid w:val="00FB7DC9"/>
    <w:rsid w:val="00FC1BD7"/>
    <w:rsid w:val="00FC7BDA"/>
    <w:rsid w:val="00FD04AC"/>
    <w:rsid w:val="00FD3A05"/>
    <w:rsid w:val="00FD4DB9"/>
    <w:rsid w:val="00FD6C2A"/>
    <w:rsid w:val="00FD6C88"/>
    <w:rsid w:val="00FD6F54"/>
    <w:rsid w:val="00FD76ED"/>
    <w:rsid w:val="00FE00C3"/>
    <w:rsid w:val="00FE1476"/>
    <w:rsid w:val="00FE2BFD"/>
    <w:rsid w:val="00FE330E"/>
    <w:rsid w:val="00FE3DBA"/>
    <w:rsid w:val="00FF164B"/>
    <w:rsid w:val="00FF17EC"/>
    <w:rsid w:val="00FF1C1E"/>
    <w:rsid w:val="00FF1D03"/>
    <w:rsid w:val="00FF2096"/>
    <w:rsid w:val="00FF4169"/>
    <w:rsid w:val="00FF46DC"/>
    <w:rsid w:val="00FF4974"/>
    <w:rsid w:val="00FF5388"/>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31E42"/>
  <w15:chartTrackingRefBased/>
  <w15:docId w15:val="{A600A296-586E-44AC-B77A-8557E24D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64A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5F83"/>
    <w:rPr>
      <w:rFonts w:asciiTheme="minorHAnsi" w:hAnsiTheme="minorHAnsi"/>
      <w:b/>
      <w:bCs/>
      <w:sz w:val="28"/>
    </w:rPr>
  </w:style>
  <w:style w:type="paragraph" w:styleId="ListParagraph">
    <w:name w:val="List Paragraph"/>
    <w:basedOn w:val="Normal"/>
    <w:uiPriority w:val="34"/>
    <w:qFormat/>
    <w:rsid w:val="00C62D81"/>
    <w:pPr>
      <w:ind w:left="720"/>
      <w:contextualSpacing/>
    </w:pPr>
  </w:style>
  <w:style w:type="character" w:styleId="Hyperlink">
    <w:name w:val="Hyperlink"/>
    <w:basedOn w:val="DefaultParagraphFont"/>
    <w:uiPriority w:val="99"/>
    <w:unhideWhenUsed/>
    <w:rsid w:val="00C62D81"/>
    <w:rPr>
      <w:color w:val="0563C1" w:themeColor="hyperlink"/>
      <w:u w:val="single"/>
    </w:rPr>
  </w:style>
  <w:style w:type="character" w:styleId="UnresolvedMention">
    <w:name w:val="Unresolved Mention"/>
    <w:basedOn w:val="DefaultParagraphFont"/>
    <w:uiPriority w:val="99"/>
    <w:semiHidden/>
    <w:unhideWhenUsed/>
    <w:rsid w:val="00C62D81"/>
    <w:rPr>
      <w:color w:val="605E5C"/>
      <w:shd w:val="clear" w:color="auto" w:fill="E1DFDD"/>
    </w:rPr>
  </w:style>
  <w:style w:type="paragraph" w:styleId="FootnoteText">
    <w:name w:val="footnote text"/>
    <w:basedOn w:val="Normal"/>
    <w:link w:val="FootnoteTextChar"/>
    <w:uiPriority w:val="99"/>
    <w:semiHidden/>
    <w:unhideWhenUsed/>
    <w:rsid w:val="003965DE"/>
    <w:pPr>
      <w:spacing w:line="240" w:lineRule="auto"/>
    </w:pPr>
    <w:rPr>
      <w:sz w:val="20"/>
      <w:szCs w:val="20"/>
    </w:rPr>
  </w:style>
  <w:style w:type="character" w:customStyle="1" w:styleId="FootnoteTextChar">
    <w:name w:val="Footnote Text Char"/>
    <w:basedOn w:val="DefaultParagraphFont"/>
    <w:link w:val="FootnoteText"/>
    <w:uiPriority w:val="99"/>
    <w:semiHidden/>
    <w:rsid w:val="003965DE"/>
    <w:rPr>
      <w:sz w:val="20"/>
      <w:szCs w:val="20"/>
    </w:rPr>
  </w:style>
  <w:style w:type="character" w:styleId="FootnoteReference">
    <w:name w:val="footnote reference"/>
    <w:basedOn w:val="DefaultParagraphFont"/>
    <w:uiPriority w:val="99"/>
    <w:semiHidden/>
    <w:unhideWhenUsed/>
    <w:rsid w:val="003965DE"/>
    <w:rPr>
      <w:vertAlign w:val="superscript"/>
    </w:rPr>
  </w:style>
  <w:style w:type="character" w:styleId="FollowedHyperlink">
    <w:name w:val="FollowedHyperlink"/>
    <w:basedOn w:val="DefaultParagraphFont"/>
    <w:uiPriority w:val="99"/>
    <w:semiHidden/>
    <w:unhideWhenUsed/>
    <w:rsid w:val="00BC595F"/>
    <w:rPr>
      <w:color w:val="954F72" w:themeColor="followedHyperlink"/>
      <w:u w:val="single"/>
    </w:rPr>
  </w:style>
  <w:style w:type="paragraph" w:styleId="Header">
    <w:name w:val="header"/>
    <w:basedOn w:val="Normal"/>
    <w:link w:val="HeaderChar"/>
    <w:uiPriority w:val="99"/>
    <w:unhideWhenUsed/>
    <w:rsid w:val="0040326C"/>
    <w:pPr>
      <w:tabs>
        <w:tab w:val="center" w:pos="4680"/>
        <w:tab w:val="right" w:pos="9360"/>
      </w:tabs>
      <w:spacing w:line="240" w:lineRule="auto"/>
    </w:pPr>
  </w:style>
  <w:style w:type="character" w:customStyle="1" w:styleId="HeaderChar">
    <w:name w:val="Header Char"/>
    <w:basedOn w:val="DefaultParagraphFont"/>
    <w:link w:val="Header"/>
    <w:uiPriority w:val="99"/>
    <w:rsid w:val="0040326C"/>
  </w:style>
  <w:style w:type="paragraph" w:styleId="Footer">
    <w:name w:val="footer"/>
    <w:basedOn w:val="Normal"/>
    <w:link w:val="FooterChar"/>
    <w:uiPriority w:val="99"/>
    <w:unhideWhenUsed/>
    <w:rsid w:val="0040326C"/>
    <w:pPr>
      <w:tabs>
        <w:tab w:val="center" w:pos="4680"/>
        <w:tab w:val="right" w:pos="9360"/>
      </w:tabs>
      <w:spacing w:line="240" w:lineRule="auto"/>
    </w:pPr>
  </w:style>
  <w:style w:type="character" w:customStyle="1" w:styleId="FooterChar">
    <w:name w:val="Footer Char"/>
    <w:basedOn w:val="DefaultParagraphFont"/>
    <w:link w:val="Footer"/>
    <w:uiPriority w:val="99"/>
    <w:rsid w:val="0040326C"/>
  </w:style>
  <w:style w:type="paragraph" w:styleId="NormalWeb">
    <w:name w:val="Normal (Web)"/>
    <w:basedOn w:val="Normal"/>
    <w:uiPriority w:val="99"/>
    <w:unhideWhenUsed/>
    <w:rsid w:val="001E384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C66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64AED"/>
    <w:rPr>
      <w:rFonts w:ascii="Times New Roman" w:eastAsia="Times New Roman" w:hAnsi="Times New Roman" w:cs="Times New Roman"/>
      <w:b/>
      <w:bCs/>
      <w:sz w:val="24"/>
      <w:szCs w:val="24"/>
    </w:rPr>
  </w:style>
  <w:style w:type="paragraph" w:customStyle="1" w:styleId="statutory-body-1em">
    <w:name w:val="statutory-body-1em"/>
    <w:basedOn w:val="Normal"/>
    <w:rsid w:val="00464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464AED"/>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A08E9"/>
    <w:rPr>
      <w:b/>
      <w:bCs/>
      <w:i/>
      <w:iCs/>
      <w:spacing w:val="5"/>
    </w:rPr>
  </w:style>
  <w:style w:type="paragraph" w:styleId="Revision">
    <w:name w:val="Revision"/>
    <w:hidden/>
    <w:uiPriority w:val="99"/>
    <w:semiHidden/>
    <w:rsid w:val="00057208"/>
    <w:pPr>
      <w:spacing w:line="240" w:lineRule="auto"/>
    </w:pPr>
  </w:style>
  <w:style w:type="character" w:styleId="CommentReference">
    <w:name w:val="annotation reference"/>
    <w:basedOn w:val="DefaultParagraphFont"/>
    <w:uiPriority w:val="99"/>
    <w:semiHidden/>
    <w:unhideWhenUsed/>
    <w:rsid w:val="00A82CE4"/>
    <w:rPr>
      <w:sz w:val="16"/>
      <w:szCs w:val="16"/>
    </w:rPr>
  </w:style>
  <w:style w:type="paragraph" w:styleId="CommentText">
    <w:name w:val="annotation text"/>
    <w:basedOn w:val="Normal"/>
    <w:link w:val="CommentTextChar"/>
    <w:uiPriority w:val="99"/>
    <w:unhideWhenUsed/>
    <w:rsid w:val="00A82CE4"/>
    <w:pPr>
      <w:spacing w:line="240" w:lineRule="auto"/>
    </w:pPr>
    <w:rPr>
      <w:sz w:val="20"/>
      <w:szCs w:val="20"/>
    </w:rPr>
  </w:style>
  <w:style w:type="character" w:customStyle="1" w:styleId="CommentTextChar">
    <w:name w:val="Comment Text Char"/>
    <w:basedOn w:val="DefaultParagraphFont"/>
    <w:link w:val="CommentText"/>
    <w:uiPriority w:val="99"/>
    <w:rsid w:val="00A82CE4"/>
    <w:rPr>
      <w:sz w:val="20"/>
      <w:szCs w:val="20"/>
    </w:rPr>
  </w:style>
  <w:style w:type="paragraph" w:styleId="CommentSubject">
    <w:name w:val="annotation subject"/>
    <w:basedOn w:val="CommentText"/>
    <w:next w:val="CommentText"/>
    <w:link w:val="CommentSubjectChar"/>
    <w:uiPriority w:val="99"/>
    <w:semiHidden/>
    <w:unhideWhenUsed/>
    <w:rsid w:val="00A82CE4"/>
    <w:rPr>
      <w:b/>
      <w:bCs/>
    </w:rPr>
  </w:style>
  <w:style w:type="character" w:customStyle="1" w:styleId="CommentSubjectChar">
    <w:name w:val="Comment Subject Char"/>
    <w:basedOn w:val="CommentTextChar"/>
    <w:link w:val="CommentSubject"/>
    <w:uiPriority w:val="99"/>
    <w:semiHidden/>
    <w:rsid w:val="00A82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0991">
      <w:bodyDiv w:val="1"/>
      <w:marLeft w:val="0"/>
      <w:marRight w:val="0"/>
      <w:marTop w:val="0"/>
      <w:marBottom w:val="0"/>
      <w:divBdr>
        <w:top w:val="none" w:sz="0" w:space="0" w:color="auto"/>
        <w:left w:val="none" w:sz="0" w:space="0" w:color="auto"/>
        <w:bottom w:val="none" w:sz="0" w:space="0" w:color="auto"/>
        <w:right w:val="none" w:sz="0" w:space="0" w:color="auto"/>
      </w:divBdr>
    </w:div>
    <w:div w:id="859977827">
      <w:bodyDiv w:val="1"/>
      <w:marLeft w:val="0"/>
      <w:marRight w:val="0"/>
      <w:marTop w:val="0"/>
      <w:marBottom w:val="0"/>
      <w:divBdr>
        <w:top w:val="none" w:sz="0" w:space="0" w:color="auto"/>
        <w:left w:val="none" w:sz="0" w:space="0" w:color="auto"/>
        <w:bottom w:val="none" w:sz="0" w:space="0" w:color="auto"/>
        <w:right w:val="none" w:sz="0" w:space="0" w:color="auto"/>
      </w:divBdr>
    </w:div>
    <w:div w:id="998658982">
      <w:bodyDiv w:val="1"/>
      <w:marLeft w:val="0"/>
      <w:marRight w:val="0"/>
      <w:marTop w:val="0"/>
      <w:marBottom w:val="0"/>
      <w:divBdr>
        <w:top w:val="none" w:sz="0" w:space="0" w:color="auto"/>
        <w:left w:val="none" w:sz="0" w:space="0" w:color="auto"/>
        <w:bottom w:val="none" w:sz="0" w:space="0" w:color="auto"/>
        <w:right w:val="none" w:sz="0" w:space="0" w:color="auto"/>
      </w:divBdr>
    </w:div>
    <w:div w:id="1068189434">
      <w:bodyDiv w:val="1"/>
      <w:marLeft w:val="0"/>
      <w:marRight w:val="0"/>
      <w:marTop w:val="0"/>
      <w:marBottom w:val="0"/>
      <w:divBdr>
        <w:top w:val="none" w:sz="0" w:space="0" w:color="auto"/>
        <w:left w:val="none" w:sz="0" w:space="0" w:color="auto"/>
        <w:bottom w:val="none" w:sz="0" w:space="0" w:color="auto"/>
        <w:right w:val="none" w:sz="0" w:space="0" w:color="auto"/>
      </w:divBdr>
    </w:div>
    <w:div w:id="1853370695">
      <w:bodyDiv w:val="1"/>
      <w:marLeft w:val="0"/>
      <w:marRight w:val="0"/>
      <w:marTop w:val="0"/>
      <w:marBottom w:val="0"/>
      <w:divBdr>
        <w:top w:val="none" w:sz="0" w:space="0" w:color="auto"/>
        <w:left w:val="none" w:sz="0" w:space="0" w:color="auto"/>
        <w:bottom w:val="none" w:sz="0" w:space="0" w:color="auto"/>
        <w:right w:val="none" w:sz="0" w:space="0" w:color="auto"/>
      </w:divBdr>
    </w:div>
    <w:div w:id="20923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lct.org/federal-funding-assistance-faqs" TargetMode="External"/><Relationship Id="rId18" Type="http://schemas.openxmlformats.org/officeDocument/2006/relationships/hyperlink" Target="https://www.whitehouse.gov/wp-content/uploads/2022/07/Build-America-Buy-America-Factsheet-and-FAQs-for-Award-Recipients.pdf" TargetMode="External"/><Relationship Id="rId26" Type="http://schemas.openxmlformats.org/officeDocument/2006/relationships/hyperlink" Target="https://www.vlct.org/funding/federal-funding-assistance-climate-energy-environment" TargetMode="External"/><Relationship Id="rId39" Type="http://schemas.openxmlformats.org/officeDocument/2006/relationships/theme" Target="theme/theme1.xml"/><Relationship Id="rId21" Type="http://schemas.openxmlformats.org/officeDocument/2006/relationships/hyperlink" Target="https://anrweb.vt.gov/DEC/ERT/Brownfields.aspx" TargetMode="External"/><Relationship Id="rId34" Type="http://schemas.openxmlformats.org/officeDocument/2006/relationships/hyperlink" Target="https://www.energy.gov/eere/buildings/qualified-software-calculating-commercial-building-tax-deductions" TargetMode="External"/><Relationship Id="rId7" Type="http://schemas.openxmlformats.org/officeDocument/2006/relationships/settings" Target="settings.xml"/><Relationship Id="rId12" Type="http://schemas.openxmlformats.org/officeDocument/2006/relationships/hyperlink" Target="https://www.irs.gov/inflation-reduction-act-of-2022" TargetMode="External"/><Relationship Id="rId17" Type="http://schemas.openxmlformats.org/officeDocument/2006/relationships/hyperlink" Target="https://www.vlct.org/federal-funding-assistance-faqs" TargetMode="External"/><Relationship Id="rId25" Type="http://schemas.openxmlformats.org/officeDocument/2006/relationships/hyperlink" Target="https://www.energy.gov/eere/solar/federal-solar-tax-credits-businesses" TargetMode="External"/><Relationship Id="rId33" Type="http://schemas.openxmlformats.org/officeDocument/2006/relationships/hyperlink" Target="https://www.irs.gov/pub/irs-drop/a-23-01.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ct.org/federal-funding-assistance-faqs" TargetMode="External"/><Relationship Id="rId20" Type="http://schemas.openxmlformats.org/officeDocument/2006/relationships/hyperlink" Target="https://www.vlct.org/funding/federal-funding-assistance-climate-energy-environment" TargetMode="External"/><Relationship Id="rId29" Type="http://schemas.openxmlformats.org/officeDocument/2006/relationships/hyperlink" Target="https://www.irs.gov/inflation-reduction-act-of-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ct.org/federal-funding-assistance-faqs" TargetMode="External"/><Relationship Id="rId24" Type="http://schemas.openxmlformats.org/officeDocument/2006/relationships/hyperlink" Target="https://www.vlct.org/funding/federal-funding-assistance-climate-energy-environment" TargetMode="External"/><Relationship Id="rId32" Type="http://schemas.openxmlformats.org/officeDocument/2006/relationships/hyperlink" Target="https://www.vlct.org/funding/federal-funding-assistance-climate-energy-environment"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lct.org/federal-funding-assistance-faqs" TargetMode="External"/><Relationship Id="rId23" Type="http://schemas.openxmlformats.org/officeDocument/2006/relationships/hyperlink" Target="https://www.vlct.org/funding/federal-funding-assistance-climate-energy-environment" TargetMode="External"/><Relationship Id="rId28" Type="http://schemas.openxmlformats.org/officeDocument/2006/relationships/hyperlink" Target="https://www.vlct.org/funding/federal-funding-assistance-climate-energy-environm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deinamerica.gov/waivers/" TargetMode="External"/><Relationship Id="rId31" Type="http://schemas.openxmlformats.org/officeDocument/2006/relationships/hyperlink" Target="https://www.vlct.org/funding/federal-funding-assistance-climate-energy-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ct.org/sites/default/files/Obtaining%20Davis-Bacon%20Wage%20Determination_VLCT.pdf" TargetMode="External"/><Relationship Id="rId22" Type="http://schemas.openxmlformats.org/officeDocument/2006/relationships/hyperlink" Target="https://www.vlct.org/funding/federal-funding-assistance-climate-energy-environment" TargetMode="External"/><Relationship Id="rId27" Type="http://schemas.openxmlformats.org/officeDocument/2006/relationships/hyperlink" Target="https://www.federalregister.gov/documents/2022/11/30/2022-26108/prevailing-wage-and-apprenticeship-initial-guidance-under-section-45b6bii-and-other-substantially" TargetMode="External"/><Relationship Id="rId30" Type="http://schemas.openxmlformats.org/officeDocument/2006/relationships/hyperlink" Target="https://www.vlct.org/funding/federal-funding-assistance-climate-energy-environmen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6" ma:contentTypeDescription="Create a new document." ma:contentTypeScope="" ma:versionID="808ed6e9c629b50ade0f416e04aaeb09">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e516c6f3c3253282c8080e74af4a2d92"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1F58-42A4-4135-BF2D-A06C682A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6754C-9D20-403B-A5F5-9D29F24C393B}">
  <ds:schemaRefs>
    <ds:schemaRef ds:uri="7c7a5e03-8652-4f2e-8fd7-072a88cb0b7a"/>
    <ds:schemaRef ds:uri="http://purl.org/dc/dcmitype/"/>
    <ds:schemaRef ds:uri="ade611f2-cbb4-42b6-9f65-8b24117e541a"/>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D778E34-95D0-48B8-A333-9951BC69F709}">
  <ds:schemaRefs>
    <ds:schemaRef ds:uri="http://schemas.microsoft.com/sharepoint/v3/contenttype/forms"/>
  </ds:schemaRefs>
</ds:datastoreItem>
</file>

<file path=customXml/itemProps4.xml><?xml version="1.0" encoding="utf-8"?>
<ds:datastoreItem xmlns:ds="http://schemas.openxmlformats.org/officeDocument/2006/customXml" ds:itemID="{8E5ABA2C-9432-4AF5-BC43-993D041B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Waninger</dc:creator>
  <cp:keywords/>
  <dc:description/>
  <cp:lastModifiedBy>Bonnie Waninger</cp:lastModifiedBy>
  <cp:revision>2</cp:revision>
  <cp:lastPrinted>2023-02-07T16:13:00Z</cp:lastPrinted>
  <dcterms:created xsi:type="dcterms:W3CDTF">2023-06-02T18:13:00Z</dcterms:created>
  <dcterms:modified xsi:type="dcterms:W3CDTF">2023-06-02T18:13:00Z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