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3725" w14:textId="77777777" w:rsidR="00D74156" w:rsidRPr="00D74156" w:rsidRDefault="00D74156" w:rsidP="00C326F7">
      <w:pPr>
        <w:pStyle w:val="Heading1"/>
      </w:pPr>
      <w:r w:rsidRPr="00D74156">
        <w:t>Preparing for a CHIP Project</w:t>
      </w:r>
    </w:p>
    <w:p w14:paraId="7C59D4F5" w14:textId="2A9CAD3F" w:rsidR="00C326F7" w:rsidRPr="00C326F7" w:rsidRDefault="00C326F7" w:rsidP="00C326F7">
      <w:pPr>
        <w:spacing w:line="240" w:lineRule="auto"/>
        <w:rPr>
          <w:i/>
          <w:iCs/>
        </w:rPr>
      </w:pPr>
      <w:r w:rsidRPr="00C326F7">
        <w:rPr>
          <w:i/>
          <w:iCs/>
        </w:rPr>
        <w:t xml:space="preserve">A Summary of </w:t>
      </w:r>
      <w:r>
        <w:rPr>
          <w:i/>
          <w:iCs/>
        </w:rPr>
        <w:t xml:space="preserve">VLCT’s </w:t>
      </w:r>
      <w:r w:rsidRPr="00C326F7">
        <w:rPr>
          <w:i/>
          <w:iCs/>
        </w:rPr>
        <w:t>webinar, Building with CHIP: Project Readiness and Pre-Development Workflow</w:t>
      </w:r>
    </w:p>
    <w:p w14:paraId="06CB677A" w14:textId="037360EB" w:rsidR="00D74156" w:rsidRPr="00D74156" w:rsidRDefault="00D74156" w:rsidP="00C326F7">
      <w:pPr>
        <w:spacing w:line="240" w:lineRule="auto"/>
      </w:pPr>
      <w:r w:rsidRPr="00D74156">
        <w:t>Successful CHIP projects begin long before an application is submitted. During pre-development, municipalities have an opportunity to understand the proposed project, evaluate whether it supports community goals, build relationships, and prepare for future decisions. Taking these steps early can reduce risk, strengthen partnerships, and help projects move forward more smoothly.</w:t>
      </w:r>
    </w:p>
    <w:p w14:paraId="444D6F6A" w14:textId="77777777" w:rsidR="00D74156" w:rsidRPr="00D74156" w:rsidRDefault="00D74156" w:rsidP="00C326F7">
      <w:pPr>
        <w:pStyle w:val="Heading3"/>
      </w:pPr>
      <w:r w:rsidRPr="00D74156">
        <w:t>Know What Information to Expect</w:t>
      </w:r>
    </w:p>
    <w:p w14:paraId="69B802E8" w14:textId="77777777" w:rsidR="00D74156" w:rsidRPr="00D74156" w:rsidRDefault="00D74156" w:rsidP="00C326F7">
      <w:pPr>
        <w:spacing w:line="240" w:lineRule="auto"/>
      </w:pPr>
      <w:r w:rsidRPr="00D74156">
        <w:t>Before moving toward a CHIP application, ask the developer to share enough information to understand whether the project is ready to move forward.</w:t>
      </w:r>
    </w:p>
    <w:p w14:paraId="53547079" w14:textId="77777777" w:rsidR="00D74156" w:rsidRPr="00D74156" w:rsidRDefault="00D74156" w:rsidP="00C326F7">
      <w:pPr>
        <w:spacing w:line="240" w:lineRule="auto"/>
      </w:pPr>
      <w:r w:rsidRPr="00D74156">
        <w:t>Look for:</w:t>
      </w:r>
    </w:p>
    <w:p w14:paraId="696BA4E7" w14:textId="77777777" w:rsidR="00D74156" w:rsidRPr="00D74156" w:rsidRDefault="00D74156" w:rsidP="00C326F7">
      <w:pPr>
        <w:numPr>
          <w:ilvl w:val="0"/>
          <w:numId w:val="1"/>
        </w:numPr>
        <w:spacing w:line="240" w:lineRule="auto"/>
        <w:contextualSpacing/>
      </w:pPr>
      <w:r w:rsidRPr="00D74156">
        <w:t>A conceptual site plan.</w:t>
      </w:r>
    </w:p>
    <w:p w14:paraId="61A20EAD" w14:textId="77777777" w:rsidR="00D74156" w:rsidRPr="00D74156" w:rsidRDefault="00D74156" w:rsidP="00C326F7">
      <w:pPr>
        <w:numPr>
          <w:ilvl w:val="0"/>
          <w:numId w:val="1"/>
        </w:numPr>
        <w:spacing w:line="240" w:lineRule="auto"/>
        <w:contextualSpacing/>
      </w:pPr>
      <w:r w:rsidRPr="00D74156">
        <w:t>Information about the proposed housing, including the number and types of units.</w:t>
      </w:r>
    </w:p>
    <w:p w14:paraId="2119FE1B" w14:textId="77777777" w:rsidR="00D74156" w:rsidRPr="00D74156" w:rsidRDefault="00D74156" w:rsidP="00C326F7">
      <w:pPr>
        <w:numPr>
          <w:ilvl w:val="0"/>
          <w:numId w:val="1"/>
        </w:numPr>
        <w:spacing w:line="240" w:lineRule="auto"/>
        <w:contextualSpacing/>
      </w:pPr>
      <w:r w:rsidRPr="00D74156">
        <w:t>Preliminary information about infrastructure needs and costs.</w:t>
      </w:r>
    </w:p>
    <w:p w14:paraId="7D3623ED" w14:textId="77777777" w:rsidR="00D74156" w:rsidRPr="00D74156" w:rsidRDefault="00D74156" w:rsidP="00C326F7">
      <w:pPr>
        <w:numPr>
          <w:ilvl w:val="0"/>
          <w:numId w:val="1"/>
        </w:numPr>
        <w:spacing w:line="240" w:lineRule="auto"/>
        <w:contextualSpacing/>
      </w:pPr>
      <w:r w:rsidRPr="00D74156">
        <w:t>A conceptual project budget or pro forma.</w:t>
      </w:r>
    </w:p>
    <w:p w14:paraId="210D3E4D" w14:textId="77777777" w:rsidR="00D74156" w:rsidRPr="00D74156" w:rsidRDefault="00D74156" w:rsidP="00C326F7">
      <w:pPr>
        <w:numPr>
          <w:ilvl w:val="0"/>
          <w:numId w:val="1"/>
        </w:numPr>
        <w:spacing w:line="240" w:lineRule="auto"/>
      </w:pPr>
      <w:r w:rsidRPr="00D74156">
        <w:t>Evidence that the developer has made meaningful progress, such as site control or completed site investigations.</w:t>
      </w:r>
    </w:p>
    <w:p w14:paraId="141BC58D" w14:textId="77777777" w:rsidR="00D74156" w:rsidRPr="00D74156" w:rsidRDefault="00D74156" w:rsidP="00C326F7">
      <w:pPr>
        <w:spacing w:line="240" w:lineRule="auto"/>
      </w:pPr>
      <w:r w:rsidRPr="00D74156">
        <w:t>This information helps municipalities determine whether the project is realistic and whether CHIP may be an appropriate financing tool.</w:t>
      </w:r>
    </w:p>
    <w:p w14:paraId="087660D5" w14:textId="77777777" w:rsidR="00D74156" w:rsidRPr="00D74156" w:rsidRDefault="00D74156" w:rsidP="00C326F7">
      <w:pPr>
        <w:pStyle w:val="Heading3"/>
      </w:pPr>
      <w:r w:rsidRPr="00D74156">
        <w:t>Start with Your Community's Goals</w:t>
      </w:r>
    </w:p>
    <w:p w14:paraId="406D7E1B" w14:textId="77777777" w:rsidR="00D74156" w:rsidRPr="00D74156" w:rsidRDefault="00D74156" w:rsidP="00C326F7">
      <w:pPr>
        <w:spacing w:line="240" w:lineRule="auto"/>
      </w:pPr>
      <w:r w:rsidRPr="00D74156">
        <w:t>Not every housing project is the right fit for CHIP.</w:t>
      </w:r>
    </w:p>
    <w:p w14:paraId="438BAA86" w14:textId="77777777" w:rsidR="00D74156" w:rsidRPr="00D74156" w:rsidRDefault="00D74156" w:rsidP="00C326F7">
      <w:pPr>
        <w:spacing w:line="240" w:lineRule="auto"/>
      </w:pPr>
      <w:r w:rsidRPr="00D74156">
        <w:t>Before evaluating a project, ask:</w:t>
      </w:r>
    </w:p>
    <w:p w14:paraId="6019B2EA" w14:textId="77777777" w:rsidR="00D74156" w:rsidRPr="00D74156" w:rsidRDefault="00D74156" w:rsidP="00C326F7">
      <w:pPr>
        <w:numPr>
          <w:ilvl w:val="0"/>
          <w:numId w:val="2"/>
        </w:numPr>
        <w:spacing w:line="240" w:lineRule="auto"/>
        <w:contextualSpacing/>
      </w:pPr>
      <w:r w:rsidRPr="00D74156">
        <w:t>Does it support our housing goals?</w:t>
      </w:r>
    </w:p>
    <w:p w14:paraId="54F1ABD9" w14:textId="77777777" w:rsidR="00D74156" w:rsidRPr="00D74156" w:rsidRDefault="00D74156" w:rsidP="00C326F7">
      <w:pPr>
        <w:numPr>
          <w:ilvl w:val="0"/>
          <w:numId w:val="2"/>
        </w:numPr>
        <w:spacing w:line="240" w:lineRule="auto"/>
        <w:contextualSpacing/>
      </w:pPr>
      <w:r w:rsidRPr="00D74156">
        <w:t>Does it fit our municipal plan?</w:t>
      </w:r>
    </w:p>
    <w:p w14:paraId="565A92CD" w14:textId="77777777" w:rsidR="00D74156" w:rsidRPr="00D74156" w:rsidRDefault="00D74156" w:rsidP="00C326F7">
      <w:pPr>
        <w:numPr>
          <w:ilvl w:val="0"/>
          <w:numId w:val="2"/>
        </w:numPr>
        <w:spacing w:line="240" w:lineRule="auto"/>
        <w:contextualSpacing/>
      </w:pPr>
      <w:r w:rsidRPr="00D74156">
        <w:t>Is the location appropriate for housing?</w:t>
      </w:r>
    </w:p>
    <w:p w14:paraId="6BBE9CAF" w14:textId="77777777" w:rsidR="00D74156" w:rsidRPr="00D74156" w:rsidRDefault="00D74156" w:rsidP="00C326F7">
      <w:pPr>
        <w:numPr>
          <w:ilvl w:val="0"/>
          <w:numId w:val="2"/>
        </w:numPr>
        <w:spacing w:line="240" w:lineRule="auto"/>
      </w:pPr>
      <w:r w:rsidRPr="00D74156">
        <w:t>Does local zoning support the proposed development?</w:t>
      </w:r>
    </w:p>
    <w:p w14:paraId="0A8DDA17" w14:textId="77777777" w:rsidR="00D74156" w:rsidRPr="00D74156" w:rsidRDefault="00D74156" w:rsidP="00C326F7">
      <w:pPr>
        <w:spacing w:line="240" w:lineRule="auto"/>
      </w:pPr>
      <w:r w:rsidRPr="00D74156">
        <w:t>If your community has not yet identified its housing priorities, developing that shared vision should be an early step.</w:t>
      </w:r>
    </w:p>
    <w:p w14:paraId="7EF46936" w14:textId="77777777" w:rsidR="00D74156" w:rsidRPr="00D74156" w:rsidRDefault="00D74156" w:rsidP="00C326F7">
      <w:pPr>
        <w:pStyle w:val="Heading3"/>
      </w:pPr>
      <w:r w:rsidRPr="00D74156">
        <w:t>Build a Strong Working Relationship</w:t>
      </w:r>
    </w:p>
    <w:p w14:paraId="01753A0D" w14:textId="77777777" w:rsidR="00D74156" w:rsidRPr="00D74156" w:rsidRDefault="00D74156" w:rsidP="00C326F7">
      <w:pPr>
        <w:spacing w:line="240" w:lineRule="auto"/>
      </w:pPr>
      <w:r w:rsidRPr="00D74156">
        <w:t>Early conversations with a developer are an opportunity to learn, not negotiate.</w:t>
      </w:r>
    </w:p>
    <w:p w14:paraId="0940BAE6" w14:textId="77777777" w:rsidR="00D74156" w:rsidRPr="00D74156" w:rsidRDefault="00D74156" w:rsidP="00C326F7">
      <w:pPr>
        <w:spacing w:line="240" w:lineRule="auto"/>
      </w:pPr>
      <w:r w:rsidRPr="00D74156">
        <w:t>Ask questions about:</w:t>
      </w:r>
    </w:p>
    <w:p w14:paraId="134EC98C" w14:textId="77777777" w:rsidR="00D74156" w:rsidRPr="00D74156" w:rsidRDefault="00D74156" w:rsidP="00C326F7">
      <w:pPr>
        <w:numPr>
          <w:ilvl w:val="0"/>
          <w:numId w:val="3"/>
        </w:numPr>
        <w:spacing w:line="240" w:lineRule="auto"/>
        <w:contextualSpacing/>
      </w:pPr>
      <w:r w:rsidRPr="00D74156">
        <w:t>the project's current stage,</w:t>
      </w:r>
    </w:p>
    <w:p w14:paraId="5096C37B" w14:textId="77777777" w:rsidR="00D74156" w:rsidRPr="00D74156" w:rsidRDefault="00D74156" w:rsidP="00C326F7">
      <w:pPr>
        <w:numPr>
          <w:ilvl w:val="0"/>
          <w:numId w:val="3"/>
        </w:numPr>
        <w:spacing w:line="240" w:lineRule="auto"/>
        <w:contextualSpacing/>
      </w:pPr>
      <w:r w:rsidRPr="00D74156">
        <w:t>the proposed timeline,</w:t>
      </w:r>
    </w:p>
    <w:p w14:paraId="42D6300B" w14:textId="77777777" w:rsidR="00D74156" w:rsidRPr="00D74156" w:rsidRDefault="00D74156" w:rsidP="00C326F7">
      <w:pPr>
        <w:numPr>
          <w:ilvl w:val="0"/>
          <w:numId w:val="3"/>
        </w:numPr>
        <w:spacing w:line="240" w:lineRule="auto"/>
        <w:contextualSpacing/>
      </w:pPr>
      <w:r w:rsidRPr="00D74156">
        <w:t>the developer's experience,</w:t>
      </w:r>
    </w:p>
    <w:p w14:paraId="2DFDFCCD" w14:textId="77777777" w:rsidR="00D74156" w:rsidRPr="00D74156" w:rsidRDefault="00D74156" w:rsidP="00C326F7">
      <w:pPr>
        <w:numPr>
          <w:ilvl w:val="0"/>
          <w:numId w:val="3"/>
        </w:numPr>
        <w:spacing w:line="240" w:lineRule="auto"/>
        <w:contextualSpacing/>
      </w:pPr>
      <w:r w:rsidRPr="00D74156">
        <w:t>funding secured so far, and</w:t>
      </w:r>
    </w:p>
    <w:p w14:paraId="03D8000B" w14:textId="77777777" w:rsidR="00D74156" w:rsidRPr="00D74156" w:rsidRDefault="00D74156" w:rsidP="00C326F7">
      <w:pPr>
        <w:numPr>
          <w:ilvl w:val="0"/>
          <w:numId w:val="3"/>
        </w:numPr>
        <w:spacing w:line="240" w:lineRule="auto"/>
      </w:pPr>
      <w:r w:rsidRPr="00D74156">
        <w:t>what they hope to accomplish.</w:t>
      </w:r>
    </w:p>
    <w:p w14:paraId="108668FC" w14:textId="77777777" w:rsidR="00D74156" w:rsidRPr="00D74156" w:rsidRDefault="00D74156" w:rsidP="00C326F7">
      <w:pPr>
        <w:spacing w:line="240" w:lineRule="auto"/>
      </w:pPr>
      <w:r w:rsidRPr="00D74156">
        <w:t>Successful projects are built on collaboration. Municipalities have an important regulatory role, but they can also work with developers as partners to achieve shared community goals.</w:t>
      </w:r>
    </w:p>
    <w:p w14:paraId="0F764DDD" w14:textId="77777777" w:rsidR="00D74156" w:rsidRPr="00D74156" w:rsidRDefault="00D74156" w:rsidP="00C326F7">
      <w:pPr>
        <w:pStyle w:val="Heading3"/>
      </w:pPr>
      <w:r w:rsidRPr="00D74156">
        <w:t>Engage the Community Early</w:t>
      </w:r>
    </w:p>
    <w:p w14:paraId="4895C13F" w14:textId="77777777" w:rsidR="00D74156" w:rsidRPr="00D74156" w:rsidRDefault="00D74156" w:rsidP="00C326F7">
      <w:pPr>
        <w:spacing w:line="240" w:lineRule="auto"/>
      </w:pPr>
      <w:r w:rsidRPr="00D74156">
        <w:t>Community engagement should begin before a specific project is ready for approval.</w:t>
      </w:r>
    </w:p>
    <w:p w14:paraId="34235CF0" w14:textId="77777777" w:rsidR="00D74156" w:rsidRPr="00D74156" w:rsidRDefault="00D74156" w:rsidP="00C326F7">
      <w:pPr>
        <w:spacing w:line="240" w:lineRule="auto"/>
      </w:pPr>
      <w:r w:rsidRPr="00D74156">
        <w:lastRenderedPageBreak/>
        <w:t>Consider:</w:t>
      </w:r>
    </w:p>
    <w:p w14:paraId="4BB12EDD" w14:textId="77777777" w:rsidR="00D74156" w:rsidRPr="00D74156" w:rsidRDefault="00D74156" w:rsidP="00C326F7">
      <w:pPr>
        <w:numPr>
          <w:ilvl w:val="0"/>
          <w:numId w:val="4"/>
        </w:numPr>
        <w:spacing w:line="240" w:lineRule="auto"/>
        <w:contextualSpacing/>
      </w:pPr>
      <w:r w:rsidRPr="00D74156">
        <w:t>discussing housing needs with boards and commissions,</w:t>
      </w:r>
    </w:p>
    <w:p w14:paraId="675FBFA8" w14:textId="77777777" w:rsidR="00D74156" w:rsidRPr="00D74156" w:rsidRDefault="00D74156" w:rsidP="00C326F7">
      <w:pPr>
        <w:numPr>
          <w:ilvl w:val="0"/>
          <w:numId w:val="4"/>
        </w:numPr>
        <w:spacing w:line="240" w:lineRule="auto"/>
        <w:contextualSpacing/>
      </w:pPr>
      <w:r w:rsidRPr="00D74156">
        <w:t>building a shared understanding among staff and elected officials,</w:t>
      </w:r>
    </w:p>
    <w:p w14:paraId="5F487508" w14:textId="77777777" w:rsidR="00D74156" w:rsidRPr="00D74156" w:rsidRDefault="00D74156" w:rsidP="00C326F7">
      <w:pPr>
        <w:numPr>
          <w:ilvl w:val="0"/>
          <w:numId w:val="4"/>
        </w:numPr>
        <w:spacing w:line="240" w:lineRule="auto"/>
        <w:contextualSpacing/>
      </w:pPr>
      <w:r w:rsidRPr="00D74156">
        <w:t>using one-on-one and small group conversations in addition to public meetings,</w:t>
      </w:r>
    </w:p>
    <w:p w14:paraId="79BEAE69" w14:textId="77777777" w:rsidR="00D74156" w:rsidRPr="00D74156" w:rsidRDefault="00D74156" w:rsidP="00C326F7">
      <w:pPr>
        <w:numPr>
          <w:ilvl w:val="0"/>
          <w:numId w:val="4"/>
        </w:numPr>
        <w:spacing w:line="240" w:lineRule="auto"/>
        <w:contextualSpacing/>
      </w:pPr>
      <w:r w:rsidRPr="00D74156">
        <w:t>identifying a municipal point person, and</w:t>
      </w:r>
    </w:p>
    <w:p w14:paraId="2335F1AD" w14:textId="77777777" w:rsidR="00D74156" w:rsidRPr="00D74156" w:rsidRDefault="00D74156" w:rsidP="00C326F7">
      <w:pPr>
        <w:numPr>
          <w:ilvl w:val="0"/>
          <w:numId w:val="4"/>
        </w:numPr>
        <w:spacing w:line="240" w:lineRule="auto"/>
      </w:pPr>
      <w:r w:rsidRPr="00D74156">
        <w:t>explaining how CHIP works before project decisions are required.</w:t>
      </w:r>
    </w:p>
    <w:p w14:paraId="67853351" w14:textId="77777777" w:rsidR="00D74156" w:rsidRPr="00D74156" w:rsidRDefault="00D74156" w:rsidP="00C326F7">
      <w:pPr>
        <w:spacing w:line="240" w:lineRule="auto"/>
      </w:pPr>
      <w:r w:rsidRPr="00D74156">
        <w:t>Starting these conversations early helps build trust and reduces misunderstandings later.</w:t>
      </w:r>
    </w:p>
    <w:p w14:paraId="7C0E907A" w14:textId="77777777" w:rsidR="00D74156" w:rsidRPr="00D74156" w:rsidRDefault="00D74156" w:rsidP="00C326F7">
      <w:pPr>
        <w:pStyle w:val="Heading3"/>
      </w:pPr>
      <w:r w:rsidRPr="00D74156">
        <w:t>Prepare Before You Need To</w:t>
      </w:r>
    </w:p>
    <w:p w14:paraId="55C9814B" w14:textId="77777777" w:rsidR="00D74156" w:rsidRPr="00D74156" w:rsidRDefault="00D74156" w:rsidP="00C326F7">
      <w:pPr>
        <w:spacing w:line="240" w:lineRule="auto"/>
      </w:pPr>
      <w:r w:rsidRPr="00D74156">
        <w:t xml:space="preserve">Many of the </w:t>
      </w:r>
      <w:proofErr w:type="gramStart"/>
      <w:r w:rsidRPr="00D74156">
        <w:t>tools</w:t>
      </w:r>
      <w:proofErr w:type="gramEnd"/>
      <w:r w:rsidRPr="00D74156">
        <w:t xml:space="preserve"> municipalities need can be developed before a project is proposed.</w:t>
      </w:r>
    </w:p>
    <w:p w14:paraId="2E720685" w14:textId="77777777" w:rsidR="00D74156" w:rsidRPr="00D74156" w:rsidRDefault="00D74156" w:rsidP="00C326F7">
      <w:pPr>
        <w:spacing w:line="240" w:lineRule="auto"/>
      </w:pPr>
      <w:r w:rsidRPr="00D74156">
        <w:t>For example:</w:t>
      </w:r>
    </w:p>
    <w:p w14:paraId="6770E1D9" w14:textId="77777777" w:rsidR="00D74156" w:rsidRPr="00D74156" w:rsidRDefault="00D74156" w:rsidP="00C326F7">
      <w:pPr>
        <w:numPr>
          <w:ilvl w:val="0"/>
          <w:numId w:val="5"/>
        </w:numPr>
        <w:spacing w:line="240" w:lineRule="auto"/>
        <w:contextualSpacing/>
      </w:pPr>
      <w:r w:rsidRPr="00D74156">
        <w:t>review sample Housing Infrastructure Agreements,</w:t>
      </w:r>
    </w:p>
    <w:p w14:paraId="7095313F" w14:textId="77777777" w:rsidR="00D74156" w:rsidRPr="00D74156" w:rsidRDefault="00D74156" w:rsidP="00C326F7">
      <w:pPr>
        <w:numPr>
          <w:ilvl w:val="0"/>
          <w:numId w:val="5"/>
        </w:numPr>
        <w:spacing w:line="240" w:lineRule="auto"/>
        <w:contextualSpacing/>
      </w:pPr>
      <w:r w:rsidRPr="00D74156">
        <w:t>develop local CHIP policies or procedures,</w:t>
      </w:r>
    </w:p>
    <w:p w14:paraId="268F41EA" w14:textId="77777777" w:rsidR="00D74156" w:rsidRPr="00D74156" w:rsidRDefault="00D74156" w:rsidP="00C326F7">
      <w:pPr>
        <w:numPr>
          <w:ilvl w:val="0"/>
          <w:numId w:val="5"/>
        </w:numPr>
        <w:spacing w:line="240" w:lineRule="auto"/>
        <w:contextualSpacing/>
      </w:pPr>
      <w:r w:rsidRPr="00D74156">
        <w:t>identify technical advisors,</w:t>
      </w:r>
    </w:p>
    <w:p w14:paraId="60E06394" w14:textId="77777777" w:rsidR="00D74156" w:rsidRPr="00D74156" w:rsidRDefault="00D74156" w:rsidP="00C326F7">
      <w:pPr>
        <w:numPr>
          <w:ilvl w:val="0"/>
          <w:numId w:val="5"/>
        </w:numPr>
        <w:spacing w:line="240" w:lineRule="auto"/>
        <w:contextualSpacing/>
      </w:pPr>
      <w:r w:rsidRPr="00D74156">
        <w:t>prepare educational materials about CHIP, and</w:t>
      </w:r>
    </w:p>
    <w:p w14:paraId="1B59201A" w14:textId="77777777" w:rsidR="00D74156" w:rsidRPr="00D74156" w:rsidRDefault="00D74156" w:rsidP="00C326F7">
      <w:pPr>
        <w:numPr>
          <w:ilvl w:val="0"/>
          <w:numId w:val="5"/>
        </w:numPr>
        <w:spacing w:line="240" w:lineRule="auto"/>
      </w:pPr>
      <w:r w:rsidRPr="00D74156">
        <w:t>gather information about local infrastructure and potential development sites.</w:t>
      </w:r>
    </w:p>
    <w:p w14:paraId="4531382C" w14:textId="77777777" w:rsidR="00D74156" w:rsidRPr="00D74156" w:rsidRDefault="00D74156" w:rsidP="00C326F7">
      <w:pPr>
        <w:spacing w:line="240" w:lineRule="auto"/>
      </w:pPr>
      <w:r w:rsidRPr="00D74156">
        <w:t>Preparing in advance allows municipalities to focus on evaluating projects instead of creating new processes under tight deadlines.</w:t>
      </w:r>
    </w:p>
    <w:p w14:paraId="0C44C8B4" w14:textId="77777777" w:rsidR="00D74156" w:rsidRPr="00D74156" w:rsidRDefault="00D74156" w:rsidP="00C326F7">
      <w:pPr>
        <w:pStyle w:val="Heading3"/>
      </w:pPr>
      <w:r w:rsidRPr="00D74156">
        <w:t>Complete Your Due Diligence</w:t>
      </w:r>
    </w:p>
    <w:p w14:paraId="45D45744" w14:textId="77777777" w:rsidR="00D74156" w:rsidRPr="00D74156" w:rsidRDefault="00D74156" w:rsidP="00C326F7">
      <w:pPr>
        <w:spacing w:line="240" w:lineRule="auto"/>
      </w:pPr>
      <w:r w:rsidRPr="00D74156">
        <w:t>Careful review is one of the best ways to reduce project risk.</w:t>
      </w:r>
    </w:p>
    <w:p w14:paraId="7E24962E" w14:textId="77777777" w:rsidR="00D74156" w:rsidRPr="00D74156" w:rsidRDefault="00D74156" w:rsidP="00C326F7">
      <w:pPr>
        <w:spacing w:line="240" w:lineRule="auto"/>
      </w:pPr>
      <w:r w:rsidRPr="00D74156">
        <w:t>Municipalities should:</w:t>
      </w:r>
    </w:p>
    <w:p w14:paraId="5CA251AE" w14:textId="77777777" w:rsidR="00D74156" w:rsidRPr="00D74156" w:rsidRDefault="00D74156" w:rsidP="00C326F7">
      <w:pPr>
        <w:numPr>
          <w:ilvl w:val="0"/>
          <w:numId w:val="6"/>
        </w:numPr>
        <w:spacing w:line="240" w:lineRule="auto"/>
        <w:contextualSpacing/>
      </w:pPr>
      <w:r w:rsidRPr="00D74156">
        <w:t>understand infrastructure needs and costs,</w:t>
      </w:r>
    </w:p>
    <w:p w14:paraId="5A245A80" w14:textId="77777777" w:rsidR="00D74156" w:rsidRPr="00D74156" w:rsidRDefault="00D74156" w:rsidP="00C326F7">
      <w:pPr>
        <w:numPr>
          <w:ilvl w:val="0"/>
          <w:numId w:val="6"/>
        </w:numPr>
        <w:spacing w:line="240" w:lineRule="auto"/>
        <w:contextualSpacing/>
      </w:pPr>
      <w:r w:rsidRPr="00D74156">
        <w:t>review environmental and site information,</w:t>
      </w:r>
    </w:p>
    <w:p w14:paraId="3FB0B59E" w14:textId="77777777" w:rsidR="00D74156" w:rsidRPr="00D74156" w:rsidRDefault="00D74156" w:rsidP="00C326F7">
      <w:pPr>
        <w:numPr>
          <w:ilvl w:val="0"/>
          <w:numId w:val="6"/>
        </w:numPr>
        <w:spacing w:line="240" w:lineRule="auto"/>
        <w:contextualSpacing/>
      </w:pPr>
      <w:r w:rsidRPr="00D74156">
        <w:t>use conservative financial assumptions,</w:t>
      </w:r>
    </w:p>
    <w:p w14:paraId="7934556C" w14:textId="77777777" w:rsidR="00D74156" w:rsidRPr="00D74156" w:rsidRDefault="00D74156" w:rsidP="00C326F7">
      <w:pPr>
        <w:numPr>
          <w:ilvl w:val="0"/>
          <w:numId w:val="6"/>
        </w:numPr>
        <w:spacing w:line="240" w:lineRule="auto"/>
        <w:contextualSpacing/>
      </w:pPr>
      <w:r w:rsidRPr="00D74156">
        <w:t>confirm that construction cost estimates are current, and</w:t>
      </w:r>
    </w:p>
    <w:p w14:paraId="67BE0712" w14:textId="77777777" w:rsidR="00D74156" w:rsidRPr="00D74156" w:rsidRDefault="00D74156" w:rsidP="00C326F7">
      <w:pPr>
        <w:numPr>
          <w:ilvl w:val="0"/>
          <w:numId w:val="6"/>
        </w:numPr>
        <w:spacing w:line="240" w:lineRule="auto"/>
      </w:pPr>
      <w:r w:rsidRPr="00D74156">
        <w:t>seek independent technical or legal review when additional expertise is needed.</w:t>
      </w:r>
    </w:p>
    <w:p w14:paraId="00221AAE" w14:textId="77777777" w:rsidR="00D74156" w:rsidRPr="00D74156" w:rsidRDefault="00D74156" w:rsidP="00C326F7">
      <w:pPr>
        <w:spacing w:line="240" w:lineRule="auto"/>
      </w:pPr>
      <w:r w:rsidRPr="00D74156">
        <w:t>Taking time to verify important information early can help avoid costly surprises later.</w:t>
      </w:r>
    </w:p>
    <w:p w14:paraId="37663038" w14:textId="77777777" w:rsidR="00D74156" w:rsidRPr="00D74156" w:rsidRDefault="00D74156" w:rsidP="00C326F7">
      <w:pPr>
        <w:pStyle w:val="Heading3"/>
      </w:pPr>
      <w:r w:rsidRPr="00D74156">
        <w:t>Be Ready When the Project Is Ready</w:t>
      </w:r>
    </w:p>
    <w:p w14:paraId="6654B839" w14:textId="77777777" w:rsidR="00D74156" w:rsidRPr="00D74156" w:rsidRDefault="00D74156" w:rsidP="00C326F7">
      <w:pPr>
        <w:spacing w:line="240" w:lineRule="auto"/>
      </w:pPr>
      <w:r w:rsidRPr="00D74156">
        <w:t>Development projects and municipal decision-making often operate on different schedules. Once financing, permitting, and construction are ready to move forward, delays can increase project costs quickly.</w:t>
      </w:r>
    </w:p>
    <w:p w14:paraId="5B2C4FCD" w14:textId="77777777" w:rsidR="00D74156" w:rsidRPr="00D74156" w:rsidRDefault="00D74156" w:rsidP="00C326F7">
      <w:pPr>
        <w:spacing w:line="240" w:lineRule="auto"/>
      </w:pPr>
      <w:r w:rsidRPr="00D74156">
        <w:t>Municipalities can prepare by:</w:t>
      </w:r>
    </w:p>
    <w:p w14:paraId="4DFE574B" w14:textId="77777777" w:rsidR="00D74156" w:rsidRPr="00D74156" w:rsidRDefault="00D74156" w:rsidP="00C326F7">
      <w:pPr>
        <w:numPr>
          <w:ilvl w:val="0"/>
          <w:numId w:val="7"/>
        </w:numPr>
        <w:spacing w:line="240" w:lineRule="auto"/>
        <w:contextualSpacing/>
      </w:pPr>
      <w:r w:rsidRPr="00D74156">
        <w:t>assigning staff responsibilities,</w:t>
      </w:r>
    </w:p>
    <w:p w14:paraId="3167C0B3" w14:textId="77777777" w:rsidR="00D74156" w:rsidRPr="00D74156" w:rsidRDefault="00D74156" w:rsidP="00C326F7">
      <w:pPr>
        <w:numPr>
          <w:ilvl w:val="0"/>
          <w:numId w:val="7"/>
        </w:numPr>
        <w:spacing w:line="240" w:lineRule="auto"/>
        <w:contextualSpacing/>
      </w:pPr>
      <w:r w:rsidRPr="00D74156">
        <w:t>planning for required reviews,</w:t>
      </w:r>
    </w:p>
    <w:p w14:paraId="74584E71" w14:textId="77777777" w:rsidR="00D74156" w:rsidRPr="00D74156" w:rsidRDefault="00D74156" w:rsidP="00C326F7">
      <w:pPr>
        <w:numPr>
          <w:ilvl w:val="0"/>
          <w:numId w:val="7"/>
        </w:numPr>
        <w:spacing w:line="240" w:lineRule="auto"/>
        <w:contextualSpacing/>
      </w:pPr>
      <w:r w:rsidRPr="00D74156">
        <w:t>bringing in outside expertise when needed, and</w:t>
      </w:r>
    </w:p>
    <w:p w14:paraId="7AC646D3" w14:textId="77777777" w:rsidR="00D74156" w:rsidRPr="00D74156" w:rsidRDefault="00D74156" w:rsidP="00C326F7">
      <w:pPr>
        <w:numPr>
          <w:ilvl w:val="0"/>
          <w:numId w:val="7"/>
        </w:numPr>
        <w:spacing w:line="240" w:lineRule="auto"/>
      </w:pPr>
      <w:r w:rsidRPr="00D74156">
        <w:t>completing as much preparation as possible before deadlines become urgent.</w:t>
      </w:r>
    </w:p>
    <w:p w14:paraId="2397FD92" w14:textId="77777777" w:rsidR="00D74156" w:rsidRPr="00D74156" w:rsidRDefault="00D74156" w:rsidP="00C326F7">
      <w:pPr>
        <w:spacing w:line="240" w:lineRule="auto"/>
      </w:pPr>
      <w:r w:rsidRPr="00D74156">
        <w:t>Being prepared helps municipalities make timely decisions without sacrificing careful review.</w:t>
      </w:r>
    </w:p>
    <w:p w14:paraId="18E799B1" w14:textId="1FE7C862" w:rsidR="00D74156" w:rsidRPr="00D74156" w:rsidRDefault="00C326F7" w:rsidP="00C326F7">
      <w:pPr>
        <w:pStyle w:val="Heading3"/>
      </w:pPr>
      <w:r>
        <w:t>Preparing for Success</w:t>
      </w:r>
    </w:p>
    <w:p w14:paraId="77B653F3" w14:textId="51674FF6" w:rsidR="00A11ADF" w:rsidRDefault="00D74156" w:rsidP="00D74156">
      <w:pPr>
        <w:spacing w:line="240" w:lineRule="auto"/>
      </w:pPr>
      <w:r w:rsidRPr="00D74156">
        <w:t xml:space="preserve">Preparing for a CHIP project is about more than completing an application. It is about understanding your community's housing goals, asking thoughtful questions, building productive partnerships, engaging residents early, and completing the due diligence needed to make informed decisions. Every project is different, but municipalities that prepare before </w:t>
      </w:r>
      <w:r w:rsidRPr="00D74156">
        <w:lastRenderedPageBreak/>
        <w:t>opportunities arise are better positioned to evaluate projects, reduce risk, and support housing that benefits their communities.</w:t>
      </w:r>
    </w:p>
    <w:sectPr w:rsidR="00A11ADF" w:rsidSect="00C326F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0D00" w14:textId="77777777" w:rsidR="007F22AD" w:rsidRDefault="007F22AD" w:rsidP="00C326F7">
      <w:pPr>
        <w:spacing w:after="0" w:line="240" w:lineRule="auto"/>
      </w:pPr>
      <w:r>
        <w:separator/>
      </w:r>
    </w:p>
  </w:endnote>
  <w:endnote w:type="continuationSeparator" w:id="0">
    <w:p w14:paraId="691A108F" w14:textId="77777777" w:rsidR="007F22AD" w:rsidRDefault="007F22AD" w:rsidP="00C3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D313" w14:textId="6EF4F945" w:rsidR="00C326F7" w:rsidRDefault="00C326F7" w:rsidP="00C326F7">
    <w:pPr>
      <w:pStyle w:val="Heading2"/>
      <w:spacing w:before="0" w:after="160" w:line="240" w:lineRule="auto"/>
    </w:pPr>
    <w:r w:rsidRPr="00574277">
      <w:rPr>
        <w:rFonts w:ascii="Calibri" w:hAnsi="Calibri" w:cs="Calibri"/>
        <w:color w:val="auto"/>
        <w:sz w:val="22"/>
        <w:szCs w:val="22"/>
      </w:rPr>
      <w:t>VLCT</w:t>
    </w:r>
    <w:r>
      <w:rPr>
        <w:rFonts w:ascii="Calibri" w:hAnsi="Calibri" w:cs="Calibri"/>
        <w:color w:val="auto"/>
        <w:sz w:val="22"/>
        <w:szCs w:val="22"/>
      </w:rPr>
      <w:t xml:space="preserve"> CHIP </w:t>
    </w:r>
    <w:r>
      <w:rPr>
        <w:rFonts w:ascii="Calibri" w:hAnsi="Calibri" w:cs="Calibri"/>
        <w:color w:val="auto"/>
        <w:sz w:val="22"/>
        <w:szCs w:val="22"/>
      </w:rPr>
      <w:t>Webinar: Building with CHIP: Project Readiness and Pre-Development Workflow</w:t>
    </w:r>
    <w:r>
      <w:rPr>
        <w:rFonts w:ascii="Calibri" w:hAnsi="Calibri" w:cs="Calibri"/>
        <w:color w:val="auto"/>
        <w:sz w:val="22"/>
        <w:szCs w:val="22"/>
      </w:rPr>
      <w:tab/>
      <w:t>(</w:t>
    </w:r>
    <w:r>
      <w:rPr>
        <w:rFonts w:ascii="Calibri" w:hAnsi="Calibri" w:cs="Calibri"/>
        <w:color w:val="auto"/>
        <w:sz w:val="22"/>
        <w:szCs w:val="22"/>
      </w:rPr>
      <w:t xml:space="preserve">April </w:t>
    </w:r>
    <w:r>
      <w:rPr>
        <w:rFonts w:ascii="Calibri" w:hAnsi="Calibri" w:cs="Calibri"/>
        <w:color w:val="auto"/>
        <w:sz w:val="22"/>
        <w:szCs w:val="22"/>
      </w:rPr>
      <w:t>2026)</w:t>
    </w:r>
    <w:r>
      <w:rPr>
        <w:rFonts w:ascii="Calibri" w:hAnsi="Calibri" w:cs="Calibri"/>
        <w:color w:val="auto"/>
        <w:sz w:val="22"/>
        <w:szCs w:val="22"/>
      </w:rPr>
      <w:tab/>
    </w:r>
    <w:r w:rsidRPr="000D6236">
      <w:rPr>
        <w:rFonts w:ascii="Calibri" w:hAnsi="Calibri" w:cs="Calibri"/>
        <w:color w:val="auto"/>
        <w:sz w:val="22"/>
        <w:szCs w:val="22"/>
      </w:rPr>
      <w:fldChar w:fldCharType="begin"/>
    </w:r>
    <w:r w:rsidRPr="000D6236">
      <w:rPr>
        <w:rFonts w:ascii="Calibri" w:hAnsi="Calibri" w:cs="Calibri"/>
        <w:color w:val="auto"/>
        <w:sz w:val="22"/>
        <w:szCs w:val="22"/>
      </w:rPr>
      <w:instrText xml:space="preserve"> PAGE   \* MERGEFORMAT </w:instrText>
    </w:r>
    <w:r w:rsidRPr="000D6236">
      <w:rPr>
        <w:rFonts w:ascii="Calibri" w:hAnsi="Calibri" w:cs="Calibri"/>
        <w:color w:val="auto"/>
        <w:sz w:val="22"/>
        <w:szCs w:val="22"/>
      </w:rPr>
      <w:fldChar w:fldCharType="separate"/>
    </w:r>
    <w:r>
      <w:rPr>
        <w:rFonts w:ascii="Calibri" w:hAnsi="Calibri" w:cs="Calibri"/>
        <w:color w:val="auto"/>
        <w:sz w:val="22"/>
        <w:szCs w:val="22"/>
      </w:rPr>
      <w:t>1</w:t>
    </w:r>
    <w:r w:rsidRPr="000D6236">
      <w:rPr>
        <w:rFonts w:ascii="Calibri" w:hAnsi="Calibri" w:cs="Calibri"/>
        <w:noProof/>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0D84" w14:textId="77777777" w:rsidR="007F22AD" w:rsidRDefault="007F22AD" w:rsidP="00C326F7">
      <w:pPr>
        <w:spacing w:after="0" w:line="240" w:lineRule="auto"/>
      </w:pPr>
      <w:r>
        <w:separator/>
      </w:r>
    </w:p>
  </w:footnote>
  <w:footnote w:type="continuationSeparator" w:id="0">
    <w:p w14:paraId="5CBA712D" w14:textId="77777777" w:rsidR="007F22AD" w:rsidRDefault="007F22AD" w:rsidP="00C3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632"/>
    <w:multiLevelType w:val="multilevel"/>
    <w:tmpl w:val="49E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61225"/>
    <w:multiLevelType w:val="multilevel"/>
    <w:tmpl w:val="91B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52AB3"/>
    <w:multiLevelType w:val="multilevel"/>
    <w:tmpl w:val="BE8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E6679"/>
    <w:multiLevelType w:val="multilevel"/>
    <w:tmpl w:val="137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E1943"/>
    <w:multiLevelType w:val="multilevel"/>
    <w:tmpl w:val="C56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03E5F"/>
    <w:multiLevelType w:val="multilevel"/>
    <w:tmpl w:val="F4D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67DBD"/>
    <w:multiLevelType w:val="multilevel"/>
    <w:tmpl w:val="34F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547416">
    <w:abstractNumId w:val="4"/>
  </w:num>
  <w:num w:numId="2" w16cid:durableId="202787431">
    <w:abstractNumId w:val="5"/>
  </w:num>
  <w:num w:numId="3" w16cid:durableId="218978823">
    <w:abstractNumId w:val="3"/>
  </w:num>
  <w:num w:numId="4" w16cid:durableId="1048342008">
    <w:abstractNumId w:val="2"/>
  </w:num>
  <w:num w:numId="5" w16cid:durableId="1136752931">
    <w:abstractNumId w:val="1"/>
  </w:num>
  <w:num w:numId="6" w16cid:durableId="1311593453">
    <w:abstractNumId w:val="0"/>
  </w:num>
  <w:num w:numId="7" w16cid:durableId="865631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56"/>
    <w:rsid w:val="000A70B1"/>
    <w:rsid w:val="000C2317"/>
    <w:rsid w:val="00286488"/>
    <w:rsid w:val="007F22AD"/>
    <w:rsid w:val="00A11ADF"/>
    <w:rsid w:val="00C3199C"/>
    <w:rsid w:val="00C326F7"/>
    <w:rsid w:val="00CB488F"/>
    <w:rsid w:val="00D7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F7BC"/>
  <w15:chartTrackingRefBased/>
  <w15:docId w15:val="{295B70AF-271C-4872-8BA1-AA45A88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9C"/>
    <w:rPr>
      <w:rFonts w:ascii="Calibri" w:hAnsi="Calibri"/>
      <w:sz w:val="22"/>
    </w:rPr>
  </w:style>
  <w:style w:type="paragraph" w:styleId="Heading1">
    <w:name w:val="heading 1"/>
    <w:basedOn w:val="Normal"/>
    <w:next w:val="Normal"/>
    <w:link w:val="Heading1Char"/>
    <w:uiPriority w:val="9"/>
    <w:qFormat/>
    <w:rsid w:val="00D74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4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1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1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41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41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1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1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1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4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156"/>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74156"/>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74156"/>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74156"/>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74156"/>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74156"/>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74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1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156"/>
    <w:pPr>
      <w:spacing w:before="160"/>
      <w:jc w:val="center"/>
    </w:pPr>
    <w:rPr>
      <w:i/>
      <w:iCs/>
      <w:color w:val="404040" w:themeColor="text1" w:themeTint="BF"/>
    </w:rPr>
  </w:style>
  <w:style w:type="character" w:customStyle="1" w:styleId="QuoteChar">
    <w:name w:val="Quote Char"/>
    <w:basedOn w:val="DefaultParagraphFont"/>
    <w:link w:val="Quote"/>
    <w:uiPriority w:val="29"/>
    <w:rsid w:val="00D74156"/>
    <w:rPr>
      <w:rFonts w:ascii="Calibri" w:hAnsi="Calibri"/>
      <w:i/>
      <w:iCs/>
      <w:color w:val="404040" w:themeColor="text1" w:themeTint="BF"/>
      <w:sz w:val="22"/>
    </w:rPr>
  </w:style>
  <w:style w:type="paragraph" w:styleId="ListParagraph">
    <w:name w:val="List Paragraph"/>
    <w:basedOn w:val="Normal"/>
    <w:uiPriority w:val="34"/>
    <w:qFormat/>
    <w:rsid w:val="00D74156"/>
    <w:pPr>
      <w:ind w:left="720"/>
      <w:contextualSpacing/>
    </w:pPr>
  </w:style>
  <w:style w:type="character" w:styleId="IntenseEmphasis">
    <w:name w:val="Intense Emphasis"/>
    <w:basedOn w:val="DefaultParagraphFont"/>
    <w:uiPriority w:val="21"/>
    <w:qFormat/>
    <w:rsid w:val="00D74156"/>
    <w:rPr>
      <w:i/>
      <w:iCs/>
      <w:color w:val="0F4761" w:themeColor="accent1" w:themeShade="BF"/>
    </w:rPr>
  </w:style>
  <w:style w:type="paragraph" w:styleId="IntenseQuote">
    <w:name w:val="Intense Quote"/>
    <w:basedOn w:val="Normal"/>
    <w:next w:val="Normal"/>
    <w:link w:val="IntenseQuoteChar"/>
    <w:uiPriority w:val="30"/>
    <w:qFormat/>
    <w:rsid w:val="00D7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156"/>
    <w:rPr>
      <w:rFonts w:ascii="Calibri" w:hAnsi="Calibri"/>
      <w:i/>
      <w:iCs/>
      <w:color w:val="0F4761" w:themeColor="accent1" w:themeShade="BF"/>
      <w:sz w:val="22"/>
    </w:rPr>
  </w:style>
  <w:style w:type="character" w:styleId="IntenseReference">
    <w:name w:val="Intense Reference"/>
    <w:basedOn w:val="DefaultParagraphFont"/>
    <w:uiPriority w:val="32"/>
    <w:qFormat/>
    <w:rsid w:val="00D74156"/>
    <w:rPr>
      <w:b/>
      <w:bCs/>
      <w:smallCaps/>
      <w:color w:val="0F4761" w:themeColor="accent1" w:themeShade="BF"/>
      <w:spacing w:val="5"/>
    </w:rPr>
  </w:style>
  <w:style w:type="paragraph" w:styleId="Header">
    <w:name w:val="header"/>
    <w:basedOn w:val="Normal"/>
    <w:link w:val="HeaderChar"/>
    <w:uiPriority w:val="99"/>
    <w:unhideWhenUsed/>
    <w:rsid w:val="00C32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6F7"/>
    <w:rPr>
      <w:rFonts w:ascii="Calibri" w:hAnsi="Calibri"/>
      <w:sz w:val="22"/>
    </w:rPr>
  </w:style>
  <w:style w:type="paragraph" w:styleId="Footer">
    <w:name w:val="footer"/>
    <w:basedOn w:val="Normal"/>
    <w:link w:val="FooterChar"/>
    <w:uiPriority w:val="99"/>
    <w:unhideWhenUsed/>
    <w:rsid w:val="00C32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6F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Waninger</dc:creator>
  <cp:keywords/>
  <dc:description/>
  <cp:lastModifiedBy>Bonnie Waninger</cp:lastModifiedBy>
  <cp:revision>1</cp:revision>
  <dcterms:created xsi:type="dcterms:W3CDTF">2026-07-13T16:13:00Z</dcterms:created>
  <dcterms:modified xsi:type="dcterms:W3CDTF">2026-07-13T19:43:00Z</dcterms:modified>
</cp:coreProperties>
</file>